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rPr>
          <w:rFonts w:hint="default" w:ascii="Calibri" w:hAnsi="Calibri" w:eastAsia="宋体" w:cs="Times New Roman"/>
          <w:b/>
          <w:color w:val="000000" w:themeColor="text1"/>
          <w:sz w:val="72"/>
          <w:szCs w:val="72"/>
          <w:highlight w:val="none"/>
          <w:lang w:val="en-US" w:eastAsia="zh-CN"/>
          <w14:textFill>
            <w14:solidFill>
              <w14:schemeClr w14:val="tx1"/>
            </w14:solidFill>
          </w14:textFill>
        </w:rPr>
      </w:pPr>
    </w:p>
    <w:p>
      <w:pPr>
        <w:pStyle w:val="27"/>
        <w:rPr>
          <w:rFonts w:hint="default" w:ascii="Calibri" w:hAnsi="Calibri" w:eastAsia="宋体" w:cs="Times New Roman"/>
          <w:b/>
          <w:color w:val="000000" w:themeColor="text1"/>
          <w:sz w:val="72"/>
          <w:szCs w:val="72"/>
          <w:highlight w:val="none"/>
          <w:lang w:val="en-US" w:eastAsia="zh-CN"/>
          <w14:textFill>
            <w14:solidFill>
              <w14:schemeClr w14:val="tx1"/>
            </w14:solidFill>
          </w14:textFill>
        </w:rPr>
      </w:pPr>
    </w:p>
    <w:p>
      <w:pPr>
        <w:jc w:val="center"/>
        <w:rPr>
          <w:rFonts w:hint="eastAsia" w:ascii="Calibri" w:hAnsi="Calibri" w:eastAsia="宋体" w:cs="Times New Roman"/>
          <w:b/>
          <w:color w:val="000000" w:themeColor="text1"/>
          <w:sz w:val="44"/>
          <w:szCs w:val="44"/>
          <w:highlight w:val="none"/>
          <w:lang w:eastAsia="zh-CN"/>
          <w14:textFill>
            <w14:solidFill>
              <w14:schemeClr w14:val="tx1"/>
            </w14:solidFill>
          </w14:textFill>
        </w:rPr>
      </w:pPr>
      <w:r>
        <w:rPr>
          <w:rFonts w:hint="eastAsia" w:ascii="Calibri" w:hAnsi="Calibri" w:eastAsia="宋体" w:cs="Times New Roman"/>
          <w:b/>
          <w:color w:val="000000" w:themeColor="text1"/>
          <w:sz w:val="44"/>
          <w:szCs w:val="44"/>
          <w:highlight w:val="none"/>
          <w14:textFill>
            <w14:solidFill>
              <w14:schemeClr w14:val="tx1"/>
            </w14:solidFill>
          </w14:textFill>
        </w:rPr>
        <w:t>双达高速韩集（临夏县）服务区加油加气站(AB站)项目</w:t>
      </w:r>
    </w:p>
    <w:p>
      <w:pPr>
        <w:jc w:val="center"/>
        <w:rPr>
          <w:rFonts w:ascii="Calibri" w:hAnsi="Calibri" w:eastAsia="宋体" w:cs="Times New Roman"/>
          <w:b/>
          <w:color w:val="000000" w:themeColor="text1"/>
          <w:sz w:val="36"/>
          <w:szCs w:val="36"/>
          <w:highlight w:val="none"/>
          <w14:textFill>
            <w14:solidFill>
              <w14:schemeClr w14:val="tx1"/>
            </w14:solidFill>
          </w14:textFill>
        </w:rPr>
      </w:pPr>
      <w:r>
        <w:rPr>
          <w:rFonts w:hint="eastAsia" w:ascii="Calibri" w:hAnsi="Calibri" w:eastAsia="宋体" w:cs="Times New Roman"/>
          <w:b/>
          <w:color w:val="000000" w:themeColor="text1"/>
          <w:sz w:val="44"/>
          <w:szCs w:val="44"/>
          <w:highlight w:val="none"/>
          <w14:textFill>
            <w14:solidFill>
              <w14:schemeClr w14:val="tx1"/>
            </w14:solidFill>
          </w14:textFill>
        </w:rPr>
        <w:t>竣工环境保护验收监测报告表</w:t>
      </w:r>
    </w:p>
    <w:p>
      <w:pPr>
        <w:rPr>
          <w:rFonts w:ascii="Calibri" w:hAnsi="Calibri" w:eastAsia="宋体" w:cs="Times New Roman"/>
          <w:b/>
          <w:color w:val="000000" w:themeColor="text1"/>
          <w:sz w:val="28"/>
          <w:szCs w:val="28"/>
          <w:highlight w:val="none"/>
          <w14:textFill>
            <w14:solidFill>
              <w14:schemeClr w14:val="tx1"/>
            </w14:solidFill>
          </w14:textFill>
        </w:rPr>
      </w:pPr>
    </w:p>
    <w:p>
      <w:pPr>
        <w:pStyle w:val="27"/>
        <w:rPr>
          <w:color w:val="000000" w:themeColor="text1"/>
          <w:highlight w:val="none"/>
          <w14:textFill>
            <w14:solidFill>
              <w14:schemeClr w14:val="tx1"/>
            </w14:solidFill>
          </w14:textFill>
        </w:rPr>
      </w:pPr>
    </w:p>
    <w:p>
      <w:pPr>
        <w:pStyle w:val="21"/>
        <w:ind w:left="0" w:leftChars="0"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6"/>
        <w:ind w:left="1506" w:hanging="1506" w:hangingChars="500"/>
        <w:jc w:val="center"/>
        <w:rPr>
          <w:rFonts w:hint="eastAsia" w:ascii="Calibri" w:hAnsi="Calibri" w:eastAsia="宋体" w:cs="Times New Roman"/>
          <w:b/>
          <w:color w:val="000000" w:themeColor="text1"/>
          <w:kern w:val="2"/>
          <w:sz w:val="30"/>
          <w:szCs w:val="30"/>
          <w:highlight w:val="none"/>
          <w:u w:val="single"/>
          <w:lang w:val="en-US" w:eastAsia="zh-CN" w:bidi="ar-SA"/>
          <w14:textFill>
            <w14:solidFill>
              <w14:schemeClr w14:val="tx1"/>
            </w14:solidFill>
          </w14:textFill>
        </w:rPr>
      </w:pPr>
      <w:r>
        <w:rPr>
          <w:rFonts w:hint="eastAsia" w:ascii="Calibri" w:hAnsi="Calibri" w:cs="Times New Roman"/>
          <w:b/>
          <w:color w:val="000000" w:themeColor="text1"/>
          <w:sz w:val="30"/>
          <w:szCs w:val="30"/>
          <w:highlight w:val="none"/>
          <w14:textFill>
            <w14:solidFill>
              <w14:schemeClr w14:val="tx1"/>
            </w14:solidFill>
          </w14:textFill>
        </w:rPr>
        <w:t>项目名称：</w:t>
      </w:r>
      <w:r>
        <w:rPr>
          <w:rFonts w:hint="eastAsia" w:ascii="Calibri" w:hAnsi="Calibri" w:cs="Times New Roman"/>
          <w:b/>
          <w:color w:val="000000" w:themeColor="text1"/>
          <w:sz w:val="30"/>
          <w:szCs w:val="30"/>
          <w:highlight w:val="none"/>
          <w:u w:val="single"/>
          <w14:textFill>
            <w14:solidFill>
              <w14:schemeClr w14:val="tx1"/>
            </w14:solidFill>
          </w14:textFill>
        </w:rPr>
        <w:t>双达高速韩集（临夏县）服务区加油加气站(AB站)项目</w:t>
      </w:r>
      <w:r>
        <w:rPr>
          <w:rFonts w:hint="eastAsia" w:ascii="Calibri" w:hAnsi="Calibri" w:cs="Times New Roman"/>
          <w:b/>
          <w:color w:val="000000" w:themeColor="text1"/>
          <w:sz w:val="30"/>
          <w:szCs w:val="30"/>
          <w:highlight w:val="none"/>
          <w:u w:val="single"/>
          <w:lang w:eastAsia="zh-CN"/>
          <w14:textFill>
            <w14:solidFill>
              <w14:schemeClr w14:val="tx1"/>
            </w14:solidFill>
          </w14:textFill>
        </w:rPr>
        <w:t>（</w:t>
      </w:r>
      <w:r>
        <w:rPr>
          <w:rFonts w:hint="eastAsia" w:ascii="Calibri" w:hAnsi="Calibri" w:cs="Times New Roman"/>
          <w:b/>
          <w:color w:val="000000" w:themeColor="text1"/>
          <w:sz w:val="30"/>
          <w:szCs w:val="30"/>
          <w:highlight w:val="none"/>
          <w:u w:val="single"/>
          <w:lang w:val="en-US" w:eastAsia="zh-CN"/>
          <w14:textFill>
            <w14:solidFill>
              <w14:schemeClr w14:val="tx1"/>
            </w14:solidFill>
          </w14:textFill>
        </w:rPr>
        <w:t>加油部分</w:t>
      </w:r>
      <w:r>
        <w:rPr>
          <w:rFonts w:hint="eastAsia" w:ascii="Calibri" w:hAnsi="Calibri" w:cs="Times New Roman"/>
          <w:b/>
          <w:color w:val="000000" w:themeColor="text1"/>
          <w:sz w:val="30"/>
          <w:szCs w:val="30"/>
          <w:highlight w:val="none"/>
          <w:u w:val="single"/>
          <w:lang w:eastAsia="zh-CN"/>
          <w14:textFill>
            <w14:solidFill>
              <w14:schemeClr w14:val="tx1"/>
            </w14:solidFill>
          </w14:textFill>
        </w:rPr>
        <w:t>）</w:t>
      </w:r>
    </w:p>
    <w:p>
      <w:pPr>
        <w:pStyle w:val="21"/>
        <w:ind w:firstLine="0" w:firstLineChars="0"/>
        <w:jc w:val="center"/>
        <w:rPr>
          <w:rFonts w:hint="default" w:ascii="Calibri" w:hAnsi="Calibri" w:cs="Times New Roman"/>
          <w:b/>
          <w:color w:val="000000" w:themeColor="text1"/>
          <w:sz w:val="30"/>
          <w:szCs w:val="30"/>
          <w:highlight w:val="none"/>
          <w:u w:val="single"/>
          <w:lang w:val="en-US"/>
          <w14:textFill>
            <w14:solidFill>
              <w14:schemeClr w14:val="tx1"/>
            </w14:solidFill>
          </w14:textFill>
        </w:rPr>
      </w:pPr>
      <w:r>
        <w:rPr>
          <w:rFonts w:hint="eastAsia" w:asciiTheme="minorEastAsia" w:hAnsiTheme="minorEastAsia" w:cstheme="minorEastAsia"/>
          <w:b/>
          <w:color w:val="000000" w:themeColor="text1"/>
          <w:sz w:val="30"/>
          <w:szCs w:val="30"/>
          <w:highlight w:val="none"/>
          <w:u w:val="none"/>
          <w:lang w:val="en-US" w:eastAsia="zh-CN"/>
          <w14:textFill>
            <w14:solidFill>
              <w14:schemeClr w14:val="tx1"/>
            </w14:solidFill>
          </w14:textFill>
        </w:rPr>
        <w:t>建设单位：</w:t>
      </w:r>
      <w:r>
        <w:rPr>
          <w:rFonts w:hint="eastAsia" w:ascii="Calibri" w:hAnsi="Calibri" w:eastAsia="宋体" w:cs="Times New Roman"/>
          <w:b/>
          <w:color w:val="000000" w:themeColor="text1"/>
          <w:kern w:val="2"/>
          <w:sz w:val="30"/>
          <w:szCs w:val="30"/>
          <w:highlight w:val="none"/>
          <w:u w:val="single"/>
          <w:lang w:val="en-US" w:eastAsia="zh-CN" w:bidi="ar-SA"/>
          <w14:textFill>
            <w14:solidFill>
              <w14:schemeClr w14:val="tx1"/>
            </w14:solidFill>
          </w14:textFill>
        </w:rPr>
        <w:t>甘肃公航旅中油能源有限责任公司</w:t>
      </w:r>
    </w:p>
    <w:p>
      <w:pPr>
        <w:pStyle w:val="21"/>
        <w:ind w:firstLine="0" w:firstLineChars="0"/>
        <w:jc w:val="both"/>
        <w:rPr>
          <w:rFonts w:hint="eastAsia" w:asciiTheme="minorEastAsia" w:hAnsiTheme="minorEastAsia" w:cstheme="minorEastAsia"/>
          <w:b/>
          <w:color w:val="000000" w:themeColor="text1"/>
          <w:sz w:val="32"/>
          <w:szCs w:val="32"/>
          <w:highlight w:val="none"/>
          <w14:textFill>
            <w14:solidFill>
              <w14:schemeClr w14:val="tx1"/>
            </w14:solidFill>
          </w14:textFill>
        </w:rPr>
      </w:pPr>
    </w:p>
    <w:p>
      <w:pPr>
        <w:pStyle w:val="21"/>
        <w:ind w:firstLine="0" w:firstLineChars="0"/>
        <w:jc w:val="both"/>
        <w:rPr>
          <w:rFonts w:hint="eastAsia" w:asciiTheme="minorEastAsia" w:hAnsiTheme="minorEastAsia" w:cstheme="minorEastAsia"/>
          <w:b/>
          <w:color w:val="000000" w:themeColor="text1"/>
          <w:sz w:val="32"/>
          <w:szCs w:val="32"/>
          <w:highlight w:val="none"/>
          <w14:textFill>
            <w14:solidFill>
              <w14:schemeClr w14:val="tx1"/>
            </w14:solidFill>
          </w14:textFill>
        </w:rPr>
      </w:pPr>
    </w:p>
    <w:p>
      <w:pPr>
        <w:pStyle w:val="21"/>
        <w:ind w:firstLine="0" w:firstLineChars="0"/>
        <w:jc w:val="center"/>
        <w:rPr>
          <w:rFonts w:ascii="Calibri" w:hAnsi="Calibri" w:eastAsia="宋体" w:cs="Times New Roman"/>
          <w:b/>
          <w:color w:val="000000" w:themeColor="text1"/>
          <w:sz w:val="32"/>
          <w:szCs w:val="32"/>
          <w:highlight w:val="none"/>
          <w14:textFill>
            <w14:solidFill>
              <w14:schemeClr w14:val="tx1"/>
            </w14:solidFill>
          </w14:textFill>
        </w:rPr>
        <w:sectPr>
          <w:headerReference r:id="rId5" w:type="first"/>
          <w:footerReference r:id="rId7" w:type="first"/>
          <w:headerReference r:id="rId3" w:type="default"/>
          <w:headerReference r:id="rId4" w:type="even"/>
          <w:footerReference r:id="rId6"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heme="minorEastAsia" w:hAnsiTheme="minorEastAsia" w:cstheme="minorEastAsia"/>
          <w:b/>
          <w:color w:val="000000" w:themeColor="text1"/>
          <w:sz w:val="32"/>
          <w:szCs w:val="32"/>
          <w:highlight w:val="none"/>
          <w14:textFill>
            <w14:solidFill>
              <w14:schemeClr w14:val="tx1"/>
            </w14:solidFill>
          </w14:textFill>
        </w:rPr>
        <w:t>20</w:t>
      </w:r>
      <w:r>
        <w:rPr>
          <w:rFonts w:hint="eastAsia" w:asciiTheme="minorEastAsia" w:hAnsiTheme="minorEastAsia" w:cstheme="minorEastAsia"/>
          <w:b/>
          <w:color w:val="000000" w:themeColor="text1"/>
          <w:sz w:val="32"/>
          <w:szCs w:val="32"/>
          <w:highlight w:val="none"/>
          <w:lang w:val="en-US" w:eastAsia="zh-CN"/>
          <w14:textFill>
            <w14:solidFill>
              <w14:schemeClr w14:val="tx1"/>
            </w14:solidFill>
          </w14:textFill>
        </w:rPr>
        <w:t>24</w:t>
      </w:r>
      <w:r>
        <w:rPr>
          <w:rFonts w:hint="eastAsia" w:asciiTheme="minorEastAsia" w:hAnsiTheme="minorEastAsia" w:cstheme="minorEastAsia"/>
          <w:b/>
          <w:color w:val="000000" w:themeColor="text1"/>
          <w:sz w:val="32"/>
          <w:szCs w:val="32"/>
          <w:highlight w:val="none"/>
          <w14:textFill>
            <w14:solidFill>
              <w14:schemeClr w14:val="tx1"/>
            </w14:solidFill>
          </w14:textFill>
        </w:rPr>
        <w:t>年</w:t>
      </w:r>
      <w:r>
        <w:rPr>
          <w:rFonts w:hint="eastAsia" w:asciiTheme="minorEastAsia" w:hAnsiTheme="minorEastAsia" w:cstheme="minorEastAsia"/>
          <w:b/>
          <w:color w:val="000000" w:themeColor="text1"/>
          <w:sz w:val="32"/>
          <w:szCs w:val="32"/>
          <w:highlight w:val="none"/>
          <w:lang w:val="en-US" w:eastAsia="zh-CN"/>
          <w14:textFill>
            <w14:solidFill>
              <w14:schemeClr w14:val="tx1"/>
            </w14:solidFill>
          </w14:textFill>
        </w:rPr>
        <w:t>07</w:t>
      </w:r>
      <w:r>
        <w:rPr>
          <w:rFonts w:hint="eastAsia" w:asciiTheme="minorEastAsia" w:hAnsiTheme="minorEastAsia" w:cstheme="minorEastAsia"/>
          <w:b/>
          <w:color w:val="000000" w:themeColor="text1"/>
          <w:sz w:val="32"/>
          <w:szCs w:val="32"/>
          <w:highlight w:val="none"/>
          <w14:textFill>
            <w14:solidFill>
              <w14:schemeClr w14:val="tx1"/>
            </w14:solidFill>
          </w14:textFill>
        </w:rPr>
        <w:t>月</w:t>
      </w:r>
    </w:p>
    <w:p>
      <w:pPr>
        <w:pStyle w:val="21"/>
        <w:ind w:left="0" w:leftChars="0" w:firstLine="0" w:firstLineChars="0"/>
        <w:rPr>
          <w:rFonts w:hint="eastAsia" w:ascii="Calibri" w:hAnsi="Calibri" w:eastAsia="宋体" w:cs="Times New Roman"/>
          <w:bCs/>
          <w:color w:val="000000" w:themeColor="text1"/>
          <w:sz w:val="28"/>
          <w:szCs w:val="28"/>
          <w:highlight w:val="none"/>
          <w14:textFill>
            <w14:solidFill>
              <w14:schemeClr w14:val="tx1"/>
            </w14:solidFill>
          </w14:textFill>
        </w:rPr>
      </w:pPr>
    </w:p>
    <w:p>
      <w:pPr>
        <w:pStyle w:val="21"/>
        <w:ind w:left="0" w:leftChars="0" w:firstLine="0" w:firstLineChars="0"/>
        <w:rPr>
          <w:rFonts w:hint="eastAsia" w:ascii="Calibri" w:hAnsi="Calibri" w:eastAsia="宋体" w:cs="Times New Roman"/>
          <w:bCs/>
          <w:color w:val="000000" w:themeColor="text1"/>
          <w:sz w:val="28"/>
          <w:szCs w:val="28"/>
          <w:highlight w:val="none"/>
          <w:lang w:eastAsia="zh-CN"/>
          <w14:textFill>
            <w14:solidFill>
              <w14:schemeClr w14:val="tx1"/>
            </w14:solidFill>
          </w14:textFill>
        </w:rPr>
      </w:pPr>
      <w:r>
        <w:rPr>
          <w:rFonts w:hint="eastAsia" w:ascii="Calibri" w:hAnsi="Calibri" w:eastAsia="宋体" w:cs="Times New Roman"/>
          <w:bCs/>
          <w:color w:val="000000" w:themeColor="text1"/>
          <w:sz w:val="28"/>
          <w:szCs w:val="28"/>
          <w:highlight w:val="none"/>
          <w14:textFill>
            <w14:solidFill>
              <w14:schemeClr w14:val="tx1"/>
            </w14:solidFill>
          </w14:textFill>
        </w:rPr>
        <w:t>建设单位：甘肃公航旅中油能源有限责任公司</w:t>
      </w:r>
    </w:p>
    <w:p>
      <w:pPr>
        <w:pStyle w:val="21"/>
        <w:ind w:left="0" w:leftChars="0" w:firstLine="0" w:firstLineChars="0"/>
        <w:rPr>
          <w:rFonts w:hint="eastAsia" w:ascii="Calibri" w:hAnsi="Calibri" w:eastAsia="宋体" w:cs="Times New Roman"/>
          <w:bCs/>
          <w:color w:val="000000" w:themeColor="text1"/>
          <w:sz w:val="28"/>
          <w:szCs w:val="28"/>
          <w:highlight w:val="none"/>
          <w:lang w:val="en-US" w:eastAsia="zh-CN"/>
          <w14:textFill>
            <w14:solidFill>
              <w14:schemeClr w14:val="tx1"/>
            </w14:solidFill>
          </w14:textFill>
        </w:rPr>
      </w:pPr>
      <w:r>
        <w:rPr>
          <w:rFonts w:hint="eastAsia" w:ascii="Calibri" w:hAnsi="Calibri" w:eastAsia="宋体" w:cs="Times New Roman"/>
          <w:bCs/>
          <w:color w:val="000000" w:themeColor="text1"/>
          <w:sz w:val="28"/>
          <w:szCs w:val="28"/>
          <w:highlight w:val="none"/>
          <w14:textFill>
            <w14:solidFill>
              <w14:schemeClr w14:val="tx1"/>
            </w14:solidFill>
          </w14:textFill>
        </w:rPr>
        <w:t>法人代表：</w:t>
      </w:r>
      <w:r>
        <w:rPr>
          <w:rFonts w:hint="eastAsia" w:ascii="Calibri" w:hAnsi="Calibri" w:eastAsia="宋体" w:cs="Times New Roman"/>
          <w:bCs/>
          <w:color w:val="000000" w:themeColor="text1"/>
          <w:sz w:val="28"/>
          <w:szCs w:val="28"/>
          <w:highlight w:val="none"/>
          <w:lang w:eastAsia="zh-CN"/>
          <w14:textFill>
            <w14:solidFill>
              <w14:schemeClr w14:val="tx1"/>
            </w14:solidFill>
          </w14:textFill>
        </w:rPr>
        <w:t>刘永忠</w:t>
      </w:r>
    </w:p>
    <w:p>
      <w:pPr>
        <w:pStyle w:val="21"/>
        <w:ind w:left="1400" w:leftChars="0" w:hanging="1400" w:hangingChars="500"/>
        <w:rPr>
          <w:rFonts w:hint="eastAsia" w:ascii="Calibri" w:hAnsi="Calibri" w:eastAsia="宋体" w:cs="Times New Roman"/>
          <w:bCs/>
          <w:color w:val="000000" w:themeColor="text1"/>
          <w:sz w:val="28"/>
          <w:szCs w:val="28"/>
          <w:highlight w:val="none"/>
          <w:lang w:eastAsia="zh-CN"/>
          <w14:textFill>
            <w14:solidFill>
              <w14:schemeClr w14:val="tx1"/>
            </w14:solidFill>
          </w14:textFill>
        </w:rPr>
      </w:pPr>
      <w:r>
        <w:rPr>
          <w:rFonts w:hint="eastAsia" w:ascii="Calibri" w:hAnsi="Calibri" w:eastAsia="宋体" w:cs="Times New Roman"/>
          <w:bCs/>
          <w:color w:val="000000" w:themeColor="text1"/>
          <w:sz w:val="28"/>
          <w:szCs w:val="28"/>
          <w:highlight w:val="none"/>
          <w:lang w:eastAsia="zh-CN"/>
          <w14:textFill>
            <w14:solidFill>
              <w14:schemeClr w14:val="tx1"/>
            </w14:solidFill>
          </w14:textFill>
        </w:rPr>
        <w:t>编制单位：双达高速韩集（临夏县）服务区加油加气站 (AB站)</w:t>
      </w:r>
    </w:p>
    <w:p>
      <w:pPr>
        <w:pStyle w:val="21"/>
        <w:ind w:left="0" w:leftChars="0" w:firstLine="0" w:firstLineChars="0"/>
        <w:rPr>
          <w:rFonts w:hint="eastAsia" w:ascii="Calibri" w:hAnsi="Calibri" w:eastAsia="宋体" w:cs="Times New Roman"/>
          <w:bCs/>
          <w:color w:val="000000" w:themeColor="text1"/>
          <w:sz w:val="28"/>
          <w:szCs w:val="28"/>
          <w:highlight w:val="none"/>
          <w:lang w:eastAsia="zh-CN"/>
          <w14:textFill>
            <w14:solidFill>
              <w14:schemeClr w14:val="tx1"/>
            </w14:solidFill>
          </w14:textFill>
        </w:rPr>
      </w:pPr>
      <w:r>
        <w:rPr>
          <w:rFonts w:hint="eastAsia" w:ascii="Calibri" w:hAnsi="Calibri" w:eastAsia="宋体" w:cs="Times New Roman"/>
          <w:bCs/>
          <w:color w:val="000000" w:themeColor="text1"/>
          <w:sz w:val="28"/>
          <w:szCs w:val="28"/>
          <w:highlight w:val="none"/>
          <w:lang w:eastAsia="zh-CN"/>
          <w14:textFill>
            <w14:solidFill>
              <w14:schemeClr w14:val="tx1"/>
            </w14:solidFill>
          </w14:textFill>
        </w:rPr>
        <w:t>编制人员：柳世勃</w:t>
      </w:r>
    </w:p>
    <w:p>
      <w:pPr>
        <w:pStyle w:val="21"/>
        <w:ind w:left="0" w:leftChars="0" w:firstLine="0" w:firstLineChars="0"/>
        <w:rPr>
          <w:rFonts w:hint="eastAsia" w:ascii="Calibri" w:hAnsi="Calibri" w:eastAsia="宋体" w:cs="Times New Roman"/>
          <w:bCs/>
          <w:color w:val="000000" w:themeColor="text1"/>
          <w:sz w:val="28"/>
          <w:szCs w:val="28"/>
          <w:highlight w:val="none"/>
          <w14:textFill>
            <w14:solidFill>
              <w14:schemeClr w14:val="tx1"/>
            </w14:solidFill>
          </w14:textFill>
        </w:rPr>
      </w:pPr>
    </w:p>
    <w:p>
      <w:pPr>
        <w:pStyle w:val="27"/>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281"/>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281"/>
        <w:rPr>
          <w:rFonts w:ascii="Calibri" w:hAnsi="Calibri" w:eastAsia="宋体" w:cs="Times New Roman"/>
          <w:b/>
          <w:color w:val="000000" w:themeColor="text1"/>
          <w:sz w:val="28"/>
          <w:szCs w:val="28"/>
          <w:highlight w:val="none"/>
          <w14:textFill>
            <w14:solidFill>
              <w14:schemeClr w14:val="tx1"/>
            </w14:solidFill>
          </w14:textFill>
        </w:rPr>
      </w:pPr>
    </w:p>
    <w:p>
      <w:pPr>
        <w:pStyle w:val="21"/>
        <w:ind w:firstLine="281"/>
        <w:rPr>
          <w:rFonts w:ascii="Calibri" w:hAnsi="Calibri" w:eastAsia="宋体" w:cs="Times New Roman"/>
          <w:b/>
          <w:color w:val="000000" w:themeColor="text1"/>
          <w:sz w:val="28"/>
          <w:szCs w:val="28"/>
          <w:highlight w:val="none"/>
          <w14:textFill>
            <w14:solidFill>
              <w14:schemeClr w14:val="tx1"/>
            </w14:solidFill>
          </w14:textFill>
        </w:rPr>
      </w:pPr>
    </w:p>
    <w:p>
      <w:pPr>
        <w:pStyle w:val="21"/>
        <w:ind w:left="0" w:leftChars="0" w:firstLine="0" w:firstLineChars="0"/>
        <w:rPr>
          <w:rFonts w:ascii="Calibri" w:hAnsi="Calibri" w:eastAsia="宋体" w:cs="Times New Roman"/>
          <w:b/>
          <w:color w:val="000000" w:themeColor="text1"/>
          <w:sz w:val="28"/>
          <w:szCs w:val="28"/>
          <w:highlight w:val="none"/>
          <w14:textFill>
            <w14:solidFill>
              <w14:schemeClr w14:val="tx1"/>
            </w14:solidFill>
          </w14:textFill>
        </w:rPr>
      </w:pPr>
    </w:p>
    <w:p>
      <w:pPr>
        <w:pStyle w:val="21"/>
        <w:ind w:left="0" w:leftChars="0" w:firstLine="0" w:firstLineChars="0"/>
        <w:rPr>
          <w:rFonts w:ascii="Calibri" w:hAnsi="Calibri" w:eastAsia="宋体" w:cs="Times New Roman"/>
          <w:b/>
          <w:color w:val="000000" w:themeColor="text1"/>
          <w:sz w:val="28"/>
          <w:szCs w:val="28"/>
          <w:highlight w:val="none"/>
          <w14:textFill>
            <w14:solidFill>
              <w14:schemeClr w14:val="tx1"/>
            </w14:solidFill>
          </w14:textFill>
        </w:rPr>
      </w:pPr>
    </w:p>
    <w:tbl>
      <w:tblPr>
        <w:tblStyle w:val="23"/>
        <w:tblW w:w="72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8" w:hRule="atLeast"/>
          <w:jc w:val="center"/>
        </w:trPr>
        <w:tc>
          <w:tcPr>
            <w:tcW w:w="7200" w:type="dxa"/>
          </w:tcPr>
          <w:p>
            <w:pPr>
              <w:pStyle w:val="19"/>
              <w:adjustRightInd w:val="0"/>
              <w:snapToGrid w:val="0"/>
              <w:spacing w:before="0" w:beforeAutospacing="0" w:after="0" w:afterAutospacing="0" w:line="360" w:lineRule="auto"/>
              <w:jc w:val="both"/>
              <w:rPr>
                <w:rFonts w:asciiTheme="minorEastAsia" w:hAnsiTheme="minorEastAsia" w:eastAsiaTheme="minorEastAsia" w:cstheme="minorEastAsia"/>
                <w:color w:val="000000" w:themeColor="text1"/>
                <w:spacing w:val="8"/>
                <w:sz w:val="28"/>
                <w:szCs w:val="28"/>
                <w:highlight w:val="none"/>
                <w14:textFill>
                  <w14:solidFill>
                    <w14:schemeClr w14:val="tx1"/>
                  </w14:solidFill>
                </w14:textFill>
              </w:rPr>
            </w:pP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建设单位</w:t>
            </w:r>
            <w:r>
              <w:rPr>
                <w:rFonts w:hint="eastAsia" w:asciiTheme="minorEastAsia" w:hAnsiTheme="minorEastAsia" w:eastAsiaTheme="minorEastAsia" w:cstheme="minorEastAsia"/>
                <w:color w:val="000000" w:themeColor="text1"/>
                <w:spacing w:val="8"/>
                <w:sz w:val="28"/>
                <w:szCs w:val="28"/>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8"/>
                <w:sz w:val="28"/>
                <w:szCs w:val="28"/>
                <w:highlight w:val="none"/>
                <w:u w:val="single"/>
                <w14:textFill>
                  <w14:solidFill>
                    <w14:schemeClr w14:val="tx1"/>
                  </w14:solidFill>
                </w14:textFill>
              </w:rPr>
              <w:t>甘肃公航旅中油能源有限责任公司（盖章）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7200" w:type="dxa"/>
            <w:vAlign w:val="center"/>
          </w:tcPr>
          <w:p>
            <w:pPr>
              <w:pStyle w:val="19"/>
              <w:adjustRightInd w:val="0"/>
              <w:snapToGrid w:val="0"/>
              <w:spacing w:before="0" w:beforeAutospacing="0" w:after="0" w:afterAutospacing="0" w:line="360" w:lineRule="auto"/>
              <w:ind w:left="740" w:hanging="740" w:hangingChars="250"/>
              <w:jc w:val="both"/>
              <w:rPr>
                <w:rFonts w:hint="default" w:asciiTheme="minorEastAsia" w:hAnsiTheme="minorEastAsia" w:eastAsiaTheme="minorEastAsia" w:cstheme="minorEastAsia"/>
                <w:color w:val="000000" w:themeColor="text1"/>
                <w:spacing w:val="8"/>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电话:0931-8448187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7200" w:type="dxa"/>
          </w:tcPr>
          <w:p>
            <w:pPr>
              <w:pStyle w:val="19"/>
              <w:adjustRightInd w:val="0"/>
              <w:snapToGrid w:val="0"/>
              <w:spacing w:before="0" w:beforeAutospacing="0" w:after="0" w:afterAutospacing="0" w:line="360" w:lineRule="auto"/>
              <w:ind w:left="740" w:hanging="740" w:hangingChars="250"/>
              <w:jc w:val="both"/>
              <w:rPr>
                <w:rFonts w:hint="eastAsia" w:asciiTheme="minorEastAsia" w:hAnsiTheme="minorEastAsia" w:eastAsiaTheme="minorEastAsia" w:cstheme="minorEastAsia"/>
                <w:color w:val="000000" w:themeColor="text1"/>
                <w:spacing w:val="8"/>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传真:</w:t>
            </w:r>
            <w:r>
              <w:rPr>
                <w:rFonts w:hint="eastAsia" w:asciiTheme="minorEastAsia" w:hAnsiTheme="minorEastAsia" w:eastAsiaTheme="minorEastAsia" w:cstheme="minorEastAsia"/>
                <w:color w:val="000000" w:themeColor="text1"/>
                <w:spacing w:val="8"/>
                <w:sz w:val="28"/>
                <w:szCs w:val="28"/>
                <w:highlight w:val="none"/>
                <w:lang w:val="en-US" w:eastAsia="zh-CN"/>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7200" w:type="dxa"/>
          </w:tcPr>
          <w:p>
            <w:pPr>
              <w:pStyle w:val="19"/>
              <w:adjustRightInd w:val="0"/>
              <w:snapToGrid w:val="0"/>
              <w:spacing w:before="0" w:beforeAutospacing="0" w:after="0" w:afterAutospacing="0" w:line="360" w:lineRule="auto"/>
              <w:jc w:val="both"/>
              <w:rPr>
                <w:rFonts w:hint="default" w:asciiTheme="minorEastAsia" w:hAnsiTheme="minorEastAsia" w:eastAsiaTheme="minorEastAsia" w:cstheme="minorEastAsia"/>
                <w:color w:val="000000" w:themeColor="text1"/>
                <w:spacing w:val="8"/>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邮编:73</w:t>
            </w:r>
            <w:r>
              <w:rPr>
                <w:rFonts w:hint="eastAsia" w:asciiTheme="minorEastAsia" w:hAnsiTheme="minorEastAsia" w:eastAsiaTheme="minorEastAsia" w:cstheme="minorEastAsia"/>
                <w:color w:val="000000" w:themeColor="text1"/>
                <w:spacing w:val="8"/>
                <w:sz w:val="28"/>
                <w:szCs w:val="28"/>
                <w:highlight w:val="none"/>
                <w:lang w:val="en-US" w:eastAsia="zh-CN"/>
                <w14:textFill>
                  <w14:solidFill>
                    <w14:schemeClr w14:val="tx1"/>
                  </w14:solidFill>
                </w14:textFill>
              </w:rPr>
              <w:t>00</w:t>
            </w: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7200" w:type="dxa"/>
          </w:tcPr>
          <w:p>
            <w:pPr>
              <w:pStyle w:val="19"/>
              <w:adjustRightInd w:val="0"/>
              <w:snapToGrid w:val="0"/>
              <w:spacing w:before="0" w:beforeAutospacing="0" w:after="0" w:afterAutospacing="0" w:line="360" w:lineRule="auto"/>
              <w:ind w:left="740" w:hanging="740" w:hangingChars="250"/>
              <w:jc w:val="both"/>
              <w:rPr>
                <w:rFonts w:hint="eastAsia" w:asciiTheme="minorEastAsia" w:hAnsiTheme="minorEastAsia" w:eastAsiaTheme="minorEastAsia" w:cstheme="minorEastAsia"/>
                <w:color w:val="000000" w:themeColor="text1"/>
                <w:spacing w:val="8"/>
                <w:sz w:val="28"/>
                <w:szCs w:val="28"/>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8"/>
                <w:sz w:val="28"/>
                <w:szCs w:val="28"/>
                <w:highlight w:val="none"/>
                <w14:textFill>
                  <w14:solidFill>
                    <w14:schemeClr w14:val="tx1"/>
                  </w14:solidFill>
                </w14:textFill>
              </w:rPr>
              <w:t>地址:</w:t>
            </w:r>
            <w:r>
              <w:rPr>
                <w:rFonts w:hint="eastAsia" w:asciiTheme="minorEastAsia" w:hAnsiTheme="minorEastAsia" w:eastAsiaTheme="minorEastAsia" w:cstheme="minorEastAsia"/>
                <w:color w:val="000000" w:themeColor="text1"/>
                <w:spacing w:val="8"/>
                <w:sz w:val="28"/>
                <w:szCs w:val="28"/>
                <w:highlight w:val="none"/>
                <w:u w:val="single"/>
                <w14:textFill>
                  <w14:solidFill>
                    <w14:schemeClr w14:val="tx1"/>
                  </w14:solidFill>
                </w14:textFill>
              </w:rPr>
              <w:t>甘肃省临夏回族自治州韩集镇麻尼寺沟乡韩集服务区内</w:t>
            </w:r>
          </w:p>
        </w:tc>
      </w:tr>
    </w:tbl>
    <w:p>
      <w:pPr>
        <w:rPr>
          <w:rFonts w:ascii="Calibri" w:hAnsi="Calibri" w:eastAsia="宋体" w:cs="Times New Roman"/>
          <w:b/>
          <w:color w:val="000000" w:themeColor="text1"/>
          <w:sz w:val="28"/>
          <w:szCs w:val="28"/>
          <w:highlight w:val="none"/>
          <w14:textFill>
            <w14:solidFill>
              <w14:schemeClr w14:val="tx1"/>
            </w14:solidFill>
          </w14:textFill>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6"/>
        <w:adjustRightInd w:val="0"/>
        <w:snapToGrid w:val="0"/>
        <w:spacing w:line="240" w:lineRule="auto"/>
        <w:ind w:firstLine="0" w:firstLineChars="0"/>
        <w:jc w:val="left"/>
        <w:rPr>
          <w:rFonts w:hint="eastAsia" w:asciiTheme="minorEastAsia" w:hAnsiTheme="minorEastAsia" w:eastAsiaTheme="minorEastAsia" w:cstheme="minorEastAsia"/>
          <w:b/>
          <w:bCs/>
          <w:color w:val="000000" w:themeColor="text1"/>
          <w:sz w:val="28"/>
          <w:szCs w:val="28"/>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highlight w:val="none"/>
          <w14:textFill>
            <w14:solidFill>
              <w14:schemeClr w14:val="tx1"/>
            </w14:solidFill>
          </w14:textFill>
        </w:rPr>
        <w:t xml:space="preserve">表一   </w:t>
      </w:r>
    </w:p>
    <w:tbl>
      <w:tblPr>
        <w:tblStyle w:val="31"/>
        <w:tblW w:w="87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7" w:type="dxa"/>
          <w:bottom w:w="0" w:type="dxa"/>
          <w:right w:w="57" w:type="dxa"/>
        </w:tblCellMar>
      </w:tblPr>
      <w:tblGrid>
        <w:gridCol w:w="1245"/>
        <w:gridCol w:w="2917"/>
        <w:gridCol w:w="2126"/>
        <w:gridCol w:w="2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7" w:hRule="atLeast"/>
          <w:jc w:val="center"/>
        </w:trPr>
        <w:tc>
          <w:tcPr>
            <w:tcW w:w="1245" w:type="dxa"/>
            <w:vAlign w:val="center"/>
          </w:tcPr>
          <w:p>
            <w:pPr>
              <w:adjustRightInd w:val="0"/>
              <w:snapToGrid w:val="0"/>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t>建设项目名称</w:t>
            </w:r>
          </w:p>
        </w:tc>
        <w:tc>
          <w:tcPr>
            <w:tcW w:w="7457" w:type="dxa"/>
            <w:gridSpan w:val="3"/>
            <w:vAlign w:val="bottom"/>
          </w:tcPr>
          <w:p>
            <w:pPr>
              <w:pStyle w:val="21"/>
              <w:ind w:firstLine="0" w:firstLineChars="0"/>
              <w:jc w:val="center"/>
              <w:rPr>
                <w:rFonts w:hint="default" w:ascii="Times New Roman" w:hAnsi="Times New Roman" w:eastAsia="宋体" w:cs="Times New Roman"/>
                <w:color w:val="000000" w:themeColor="text1"/>
                <w:kern w:val="24"/>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4"/>
                <w:sz w:val="24"/>
                <w:szCs w:val="24"/>
                <w:highlight w:val="none"/>
                <w:lang w:val="en-US" w:eastAsia="zh-CN"/>
                <w14:textFill>
                  <w14:solidFill>
                    <w14:schemeClr w14:val="tx1"/>
                  </w14:solidFill>
                </w14:textFill>
              </w:rPr>
              <w:t>双达高速韩集（临夏县）服务区加油加气站 (AB站)项目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25" w:hRule="atLeast"/>
          <w:jc w:val="center"/>
        </w:trPr>
        <w:tc>
          <w:tcPr>
            <w:tcW w:w="1245" w:type="dxa"/>
            <w:vAlign w:val="center"/>
          </w:tcPr>
          <w:p>
            <w:pPr>
              <w:adjustRightInd w:val="0"/>
              <w:snapToGrid w:val="0"/>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t>建设单位名称</w:t>
            </w:r>
          </w:p>
        </w:tc>
        <w:tc>
          <w:tcPr>
            <w:tcW w:w="7457" w:type="dxa"/>
            <w:gridSpan w:val="3"/>
            <w:vAlign w:val="center"/>
          </w:tcPr>
          <w:p>
            <w:pPr>
              <w:adjustRightInd w:val="0"/>
              <w:snapToGrid w:val="0"/>
              <w:jc w:val="center"/>
              <w:rPr>
                <w:rFonts w:hint="default" w:ascii="Times New Roman" w:hAnsi="Times New Roman" w:eastAsia="宋体" w:cs="Times New Roman"/>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甘肃公航旅中油能源有限责任公司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06" w:hRule="atLeast"/>
          <w:jc w:val="center"/>
        </w:trPr>
        <w:tc>
          <w:tcPr>
            <w:tcW w:w="1245" w:type="dxa"/>
            <w:vAlign w:val="center"/>
          </w:tcPr>
          <w:p>
            <w:pPr>
              <w:adjustRightInd w:val="0"/>
              <w:snapToGrid w:val="0"/>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t>建设项目性质</w:t>
            </w:r>
          </w:p>
        </w:tc>
        <w:tc>
          <w:tcPr>
            <w:tcW w:w="7457" w:type="dxa"/>
            <w:gridSpan w:val="3"/>
            <w:vAlign w:val="center"/>
          </w:tcPr>
          <w:p>
            <w:pPr>
              <w:adjustRightInd w:val="0"/>
              <w:snapToGrid w:val="0"/>
              <w:jc w:val="center"/>
              <w:rPr>
                <w:rFonts w:hint="default" w:ascii="Times New Roman" w:hAnsi="Times New Roman" w:eastAsia="宋体" w:cs="Times New Roman"/>
                <w:color w:val="000000" w:themeColor="text1"/>
                <w:kern w:val="24"/>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kern w:val="24"/>
                <w:sz w:val="24"/>
                <w:szCs w:val="24"/>
                <w:highlight w:val="none"/>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26" w:hRule="atLeast"/>
          <w:jc w:val="center"/>
        </w:trPr>
        <w:tc>
          <w:tcPr>
            <w:tcW w:w="1245" w:type="dxa"/>
            <w:vAlign w:val="center"/>
          </w:tcPr>
          <w:p>
            <w:pPr>
              <w:adjustRightInd w:val="0"/>
              <w:snapToGrid w:val="0"/>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t>建设地点</w:t>
            </w:r>
          </w:p>
        </w:tc>
        <w:tc>
          <w:tcPr>
            <w:tcW w:w="7457" w:type="dxa"/>
            <w:gridSpan w:val="3"/>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eastAsia="zh-CN"/>
                <w14:textFill>
                  <w14:solidFill>
                    <w14:schemeClr w14:val="tx1"/>
                  </w14:solidFill>
                </w14:textFill>
              </w:rPr>
              <w:t>甘肃省临夏回族自治州韩集镇麻尼寺沟乡韩集服务区内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71"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主要产品名称</w:t>
            </w:r>
          </w:p>
        </w:tc>
        <w:tc>
          <w:tcPr>
            <w:tcW w:w="7457" w:type="dxa"/>
            <w:gridSpan w:val="3"/>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eastAsia="zh-CN"/>
                <w14:textFill>
                  <w14:solidFill>
                    <w14:schemeClr w14:val="tx1"/>
                  </w14:solidFill>
                </w14:textFill>
              </w:rPr>
              <w:t>供应汽油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、柴油</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、LNG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92"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设计生产能力</w:t>
            </w:r>
          </w:p>
        </w:tc>
        <w:tc>
          <w:tcPr>
            <w:tcW w:w="7457" w:type="dxa"/>
            <w:gridSpan w:val="3"/>
            <w:vAlign w:val="center"/>
          </w:tcPr>
          <w:p>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A、B站总</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销售量</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汽油2679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、柴油2319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、LNG</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2555</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507"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实际生产能力</w:t>
            </w:r>
          </w:p>
        </w:tc>
        <w:tc>
          <w:tcPr>
            <w:tcW w:w="7457" w:type="dxa"/>
            <w:gridSpan w:val="3"/>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A、B站总销售量汽油2679t/a、柴油2319t/a</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、LNG2555t/a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32"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建设项目环评时间</w:t>
            </w:r>
          </w:p>
        </w:tc>
        <w:tc>
          <w:tcPr>
            <w:tcW w:w="2917"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2019.7</w:t>
            </w:r>
          </w:p>
        </w:tc>
        <w:tc>
          <w:tcPr>
            <w:tcW w:w="2126"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开工建设时间</w:t>
            </w:r>
          </w:p>
        </w:tc>
        <w:tc>
          <w:tcPr>
            <w:tcW w:w="2414"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2019.12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36"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调试时间</w:t>
            </w:r>
          </w:p>
        </w:tc>
        <w:tc>
          <w:tcPr>
            <w:tcW w:w="2917"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4.03</w:t>
            </w:r>
          </w:p>
        </w:tc>
        <w:tc>
          <w:tcPr>
            <w:tcW w:w="2126"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验收现场监测时间</w:t>
            </w:r>
          </w:p>
        </w:tc>
        <w:tc>
          <w:tcPr>
            <w:tcW w:w="2414"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629"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环评报告表审批部门</w:t>
            </w:r>
          </w:p>
        </w:tc>
        <w:tc>
          <w:tcPr>
            <w:tcW w:w="2917"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临夏州生态环境局临夏分局</w:t>
            </w:r>
          </w:p>
        </w:tc>
        <w:tc>
          <w:tcPr>
            <w:tcW w:w="2126"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环评报告表编制单位</w:t>
            </w:r>
          </w:p>
        </w:tc>
        <w:tc>
          <w:tcPr>
            <w:tcW w:w="2414" w:type="dxa"/>
            <w:vAlign w:val="center"/>
          </w:tcPr>
          <w:p>
            <w:pPr>
              <w:pStyle w:val="19"/>
              <w:keepNext w:val="0"/>
              <w:keepLines w:val="0"/>
              <w:widowControl/>
              <w:suppressLineNumbers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甘肃蓝曦环保科技有限公司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0"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投资总概算</w:t>
            </w:r>
          </w:p>
        </w:tc>
        <w:tc>
          <w:tcPr>
            <w:tcW w:w="2917"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400万元</w:t>
            </w:r>
          </w:p>
        </w:tc>
        <w:tc>
          <w:tcPr>
            <w:tcW w:w="2126"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环保投资总概算</w:t>
            </w:r>
          </w:p>
        </w:tc>
        <w:tc>
          <w:tcPr>
            <w:tcW w:w="2414"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66" w:hRule="atLeast"/>
          <w:jc w:val="center"/>
        </w:trPr>
        <w:tc>
          <w:tcPr>
            <w:tcW w:w="1245"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实际总</w:t>
            </w:r>
            <w:r>
              <w:rPr>
                <w:rFonts w:hint="default" w:ascii="Times New Roman" w:hAnsi="Times New Roman" w:eastAsia="宋体" w:cs="Times New Roman"/>
                <w:color w:val="000000" w:themeColor="text1"/>
                <w:sz w:val="24"/>
                <w:szCs w:val="24"/>
                <w:highlight w:val="none"/>
                <w:shd w:val="clear" w:color="auto" w:fill="auto"/>
                <w:lang w:eastAsia="zh-CN"/>
                <w14:textFill>
                  <w14:solidFill>
                    <w14:schemeClr w14:val="tx1"/>
                  </w14:solidFill>
                </w14:textFill>
              </w:rPr>
              <w:t>投资</w:t>
            </w:r>
          </w:p>
        </w:tc>
        <w:tc>
          <w:tcPr>
            <w:tcW w:w="2917"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shd w:val="clear" w:color="auto" w:fill="auto"/>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shd w:val="clear" w:color="auto" w:fill="auto"/>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shd w:val="clear" w:color="auto" w:fill="auto"/>
                <w:lang w:val="en-US" w:eastAsia="zh-CN"/>
                <w14:textFill>
                  <w14:solidFill>
                    <w14:schemeClr w14:val="tx1"/>
                  </w14:solidFill>
                </w14:textFill>
              </w:rPr>
              <w:t>400万元</w:t>
            </w:r>
          </w:p>
        </w:tc>
        <w:tc>
          <w:tcPr>
            <w:tcW w:w="2126" w:type="dxa"/>
            <w:vAlign w:val="center"/>
          </w:tcPr>
          <w:p>
            <w:pPr>
              <w:adjustRightInd w:val="0"/>
              <w:snapToGrid w:val="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实际</w:t>
            </w:r>
            <w:r>
              <w:rPr>
                <w:rFonts w:hint="default" w:ascii="Times New Roman" w:hAnsi="Times New Roman" w:eastAsia="宋体" w:cs="Times New Roman"/>
                <w:color w:val="000000" w:themeColor="text1"/>
                <w:sz w:val="24"/>
                <w:szCs w:val="24"/>
                <w:highlight w:val="none"/>
                <w14:textFill>
                  <w14:solidFill>
                    <w14:schemeClr w14:val="tx1"/>
                  </w14:solidFill>
                </w14:textFill>
              </w:rPr>
              <w:t>环保投资</w:t>
            </w:r>
          </w:p>
        </w:tc>
        <w:tc>
          <w:tcPr>
            <w:tcW w:w="2414" w:type="dxa"/>
            <w:vAlign w:val="center"/>
          </w:tcPr>
          <w:p>
            <w:pPr>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101.4</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90" w:hRule="atLeast"/>
          <w:jc w:val="center"/>
        </w:trPr>
        <w:tc>
          <w:tcPr>
            <w:tcW w:w="1245" w:type="dxa"/>
            <w:vAlign w:val="center"/>
          </w:tcPr>
          <w:p>
            <w:pPr>
              <w:widowControl/>
              <w:adjustRightInd w:val="0"/>
              <w:snapToGrid w:val="0"/>
              <w:spacing w:line="360" w:lineRule="auto"/>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验收监测依据</w:t>
            </w:r>
          </w:p>
        </w:tc>
        <w:tc>
          <w:tcPr>
            <w:tcW w:w="7457" w:type="dxa"/>
            <w:gridSpan w:val="3"/>
            <w:vAlign w:val="top"/>
          </w:tcPr>
          <w:p>
            <w:pPr>
              <w:widowControl/>
              <w:adjustRightInd w:val="0"/>
              <w:snapToGrid w:val="0"/>
              <w:spacing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1.《建设项目环境保护管理条例》（国务院令第682号，2017.10.1）；</w:t>
            </w:r>
          </w:p>
          <w:p>
            <w:pPr>
              <w:widowControl/>
              <w:adjustRightInd w:val="0"/>
              <w:snapToGrid w:val="0"/>
              <w:spacing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《建设项目竣工环境保护验收暂行办法》（国环规环评[2017]4号，2017.1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p>
          <w:p>
            <w:pPr>
              <w:pStyle w:val="21"/>
              <w:adjustRightInd w:val="0"/>
              <w:snapToGrid w:val="0"/>
              <w:spacing w:after="0" w:line="360" w:lineRule="auto"/>
              <w:ind w:left="0" w:leftChars="0"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.《建设项目竣工环境保护验收技术指南   污染影响类》生态环境部公告  2018年第9号；</w:t>
            </w:r>
          </w:p>
          <w:p>
            <w:pPr>
              <w:pStyle w:val="21"/>
              <w:adjustRightInd w:val="0"/>
              <w:snapToGrid w:val="0"/>
              <w:spacing w:after="0" w:line="360" w:lineRule="auto"/>
              <w:ind w:left="0" w:leftChars="0"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.《双达高速韩集（临夏县）服务区加油加气站(AB站)项目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环境影响报告表</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甘肃蓝曦环保科技有限公司</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2019</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月；</w:t>
            </w:r>
          </w:p>
          <w:p>
            <w:pPr>
              <w:widowControl/>
              <w:adjustRightInd w:val="0"/>
              <w:snapToGrid w:val="0"/>
              <w:spacing w:line="360" w:lineRule="auto"/>
              <w:ind w:firstLine="480" w:firstLineChars="200"/>
              <w:jc w:val="both"/>
              <w:rPr>
                <w:rFonts w:hint="default" w:ascii="Times New Roman" w:hAnsi="Times New Roman" w:eastAsia="宋体" w:cs="Times New Roman"/>
                <w:color w:val="000000" w:themeColor="text1"/>
                <w:kern w:val="0"/>
                <w:sz w:val="24"/>
                <w:szCs w:val="24"/>
                <w:highlight w:val="none"/>
                <w:lang w:val="en-US" w:eastAsia="zh-CN" w:bidi="ar-BH"/>
                <w14:textFill>
                  <w14:solidFill>
                    <w14:schemeClr w14:val="tx1"/>
                  </w14:solidFill>
                </w14:textFill>
              </w:rPr>
            </w:pP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.《双达高速韩集（临夏县）服务区加油加气站 (AB站)项目</w:t>
            </w:r>
            <w:r>
              <w:rPr>
                <w:rFonts w:hint="default" w:ascii="Times New Roman" w:hAnsi="Times New Roman" w:eastAsia="宋体" w:cs="Times New Roman"/>
                <w:color w:val="auto"/>
                <w:sz w:val="24"/>
                <w:szCs w:val="24"/>
                <w:highlight w:val="none"/>
                <w:lang w:val="en-US" w:eastAsia="zh-CN"/>
              </w:rPr>
              <w:t>环境影响报告表的批复</w:t>
            </w:r>
            <w:r>
              <w:rPr>
                <w:rFonts w:hint="default" w:ascii="Times New Roman" w:hAnsi="Times New Roman" w:eastAsia="宋体" w:cs="Times New Roman"/>
                <w:color w:val="auto"/>
                <w:sz w:val="24"/>
                <w:szCs w:val="24"/>
                <w:highlight w:val="none"/>
              </w:rPr>
              <w:t>》临夏州生态环境局临夏分局，</w:t>
            </w:r>
            <w:r>
              <w:rPr>
                <w:rFonts w:hint="eastAsia" w:ascii="Times New Roman" w:hAnsi="Times New Roman" w:eastAsia="宋体" w:cs="Times New Roman"/>
                <w:color w:val="auto"/>
                <w:sz w:val="24"/>
                <w:szCs w:val="24"/>
                <w:highlight w:val="none"/>
                <w:lang w:val="en-US" w:eastAsia="zh-CN"/>
              </w:rPr>
              <w:t>临县</w:t>
            </w:r>
            <w:r>
              <w:rPr>
                <w:rFonts w:hint="default" w:ascii="Times New Roman" w:hAnsi="Times New Roman" w:eastAsia="宋体" w:cs="Times New Roman"/>
                <w:color w:val="auto"/>
                <w:sz w:val="24"/>
                <w:szCs w:val="24"/>
                <w:highlight w:val="none"/>
                <w:lang w:eastAsia="zh-CN"/>
              </w:rPr>
              <w:t>环</w:t>
            </w:r>
            <w:r>
              <w:rPr>
                <w:rFonts w:hint="eastAsia" w:ascii="Times New Roman" w:hAnsi="Times New Roman" w:eastAsia="宋体" w:cs="Times New Roman"/>
                <w:color w:val="auto"/>
                <w:sz w:val="24"/>
                <w:szCs w:val="24"/>
                <w:highlight w:val="none"/>
                <w:lang w:val="en-US" w:eastAsia="zh-CN"/>
              </w:rPr>
              <w:t>发</w:t>
            </w:r>
            <w:r>
              <w:rPr>
                <w:rFonts w:hint="default" w:ascii="Times New Roman" w:hAnsi="Times New Roman" w:eastAsia="宋体"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133</w:t>
            </w:r>
            <w:r>
              <w:rPr>
                <w:rFonts w:hint="default" w:ascii="Times New Roman" w:hAnsi="Times New Roman" w:eastAsia="宋体" w:cs="Times New Roman"/>
                <w:color w:val="auto"/>
                <w:sz w:val="24"/>
                <w:szCs w:val="24"/>
                <w:highlight w:val="none"/>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0" w:hRule="atLeast"/>
          <w:jc w:val="center"/>
        </w:trPr>
        <w:tc>
          <w:tcPr>
            <w:tcW w:w="1245" w:type="dxa"/>
            <w:vAlign w:val="center"/>
          </w:tcPr>
          <w:p>
            <w:pPr>
              <w:pStyle w:val="27"/>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cs="Times New Roman"/>
                <w:color w:val="000000" w:themeColor="text1"/>
                <w:sz w:val="24"/>
                <w:szCs w:val="24"/>
                <w:highlight w:val="none"/>
                <w:lang w:val="en-US" w:eastAsia="zh-CN"/>
                <w14:textFill>
                  <w14:solidFill>
                    <w14:schemeClr w14:val="tx1"/>
                  </w14:solidFill>
                </w14:textFill>
              </w:rPr>
              <w:t>项目建设过程（项目立项~试运行）</w:t>
            </w:r>
          </w:p>
        </w:tc>
        <w:tc>
          <w:tcPr>
            <w:tcW w:w="7457" w:type="dxa"/>
            <w:gridSpan w:val="3"/>
            <w:vAlign w:val="top"/>
          </w:tcPr>
          <w:p>
            <w:pPr>
              <w:pStyle w:val="21"/>
              <w:adjustRightInd w:val="0"/>
              <w:snapToGrid w:val="0"/>
              <w:spacing w:after="0"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2019.5</w:t>
            </w:r>
            <w:r>
              <w:rPr>
                <w:rFonts w:hint="default" w:ascii="Times New Roman" w:hAnsi="Times New Roman" w:eastAsia="宋体" w:cs="Times New Roman"/>
                <w:color w:val="000000" w:themeColor="text1"/>
                <w:sz w:val="24"/>
                <w:szCs w:val="24"/>
                <w:highlight w:val="none"/>
                <w14:textFill>
                  <w14:solidFill>
                    <w14:schemeClr w14:val="tx1"/>
                  </w14:solidFill>
                </w14:textFill>
              </w:rPr>
              <w:t>甘肃公航旅中油能源有限责任公司</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对双达高速韩集（临夏县）服务区加油加气站 (AB站)项目</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甘肃蓝曦环保科技有限公司</w:t>
            </w:r>
            <w:r>
              <w:rPr>
                <w:rFonts w:hint="default" w:ascii="Times New Roman" w:hAnsi="Times New Roman" w:eastAsia="宋体" w:cs="Times New Roman"/>
                <w:color w:val="000000" w:themeColor="text1"/>
                <w:sz w:val="24"/>
                <w:szCs w:val="24"/>
                <w:highlight w:val="none"/>
                <w14:textFill>
                  <w14:solidFill>
                    <w14:schemeClr w14:val="tx1"/>
                  </w14:solidFill>
                </w14:textFill>
              </w:rPr>
              <w:t>对</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w:t>
            </w:r>
            <w:r>
              <w:rPr>
                <w:rFonts w:hint="default" w:ascii="Times New Roman" w:hAnsi="Times New Roman" w:eastAsia="宋体" w:cs="Times New Roman"/>
                <w:color w:val="000000" w:themeColor="text1"/>
                <w:sz w:val="24"/>
                <w:szCs w:val="24"/>
                <w:highlight w:val="none"/>
                <w14:textFill>
                  <w14:solidFill>
                    <w14:schemeClr w14:val="tx1"/>
                  </w14:solidFill>
                </w14:textFill>
              </w:rPr>
              <w:t>项目进行了环境影响</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评价</w:t>
            </w:r>
            <w:r>
              <w:rPr>
                <w:rFonts w:hint="default" w:ascii="Times New Roman" w:hAnsi="Times New Roman" w:eastAsia="宋体" w:cs="Times New Roman"/>
                <w:color w:val="000000" w:themeColor="text1"/>
                <w:sz w:val="24"/>
                <w:szCs w:val="24"/>
                <w:highlight w:val="none"/>
                <w14:textFill>
                  <w14:solidFill>
                    <w14:schemeClr w14:val="tx1"/>
                  </w14:solidFill>
                </w14:textFill>
              </w:rPr>
              <w:t>工作，201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14:textFill>
                  <w14:solidFill>
                    <w14:schemeClr w14:val="tx1"/>
                  </w14:solidFill>
                </w14:textFill>
              </w:rPr>
              <w:t>月召开了双达高速韩集（临夏县）服务区加油加气站(AB站)项目</w:t>
            </w:r>
            <w:r>
              <w:rPr>
                <w:rFonts w:hint="default" w:ascii="Times New Roman" w:hAnsi="Times New Roman" w:eastAsia="宋体" w:cs="Times New Roman"/>
                <w:color w:val="000000" w:themeColor="text1"/>
                <w:kern w:val="24"/>
                <w:sz w:val="24"/>
                <w:szCs w:val="24"/>
                <w:highlight w:val="none"/>
                <w:lang w:val="en-US" w:eastAsia="zh-CN"/>
                <w14:textFill>
                  <w14:solidFill>
                    <w14:schemeClr w14:val="tx1"/>
                  </w14:solidFill>
                </w14:textFill>
              </w:rPr>
              <w:t>评审会</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pPr>
              <w:pStyle w:val="21"/>
              <w:adjustRightInd w:val="0"/>
              <w:snapToGrid w:val="0"/>
              <w:spacing w:after="0"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201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日取得该项目的环境影响评价报告表的审批意见，临县环发[2019]133号；</w:t>
            </w:r>
          </w:p>
          <w:p>
            <w:pPr>
              <w:pStyle w:val="21"/>
              <w:adjustRightInd w:val="0"/>
              <w:snapToGrid w:val="0"/>
              <w:spacing w:after="0"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建设单位对双达高速韩集（临夏县）服务区加油加气站(AB站)项目</w:t>
            </w:r>
            <w:r>
              <w:rPr>
                <w:rFonts w:hint="default" w:ascii="Times New Roman" w:hAnsi="Times New Roman" w:eastAsia="宋体" w:cs="Times New Roman"/>
                <w:color w:val="000000" w:themeColor="text1"/>
                <w:sz w:val="24"/>
                <w:szCs w:val="24"/>
                <w:highlight w:val="none"/>
                <w14:textFill>
                  <w14:solidFill>
                    <w14:schemeClr w14:val="tx1"/>
                  </w14:solidFill>
                </w14:textFill>
              </w:rPr>
              <w:t>进行竣工环境保护验收工作。</w:t>
            </w:r>
          </w:p>
          <w:p>
            <w:pPr>
              <w:pStyle w:val="21"/>
              <w:keepNext w:val="0"/>
              <w:keepLines w:val="0"/>
              <w:pageBreakBefore w:val="0"/>
              <w:widowControl w:val="0"/>
              <w:numPr>
                <w:ilvl w:val="0"/>
                <w:numId w:val="1"/>
              </w:numPr>
              <w:kinsoku/>
              <w:wordWrap/>
              <w:overflowPunct/>
              <w:topLinePunct w:val="0"/>
              <w:autoSpaceDE/>
              <w:autoSpaceDN/>
              <w:bidi w:val="0"/>
              <w:adjustRightInd/>
              <w:snapToGrid w:val="0"/>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甘肃华辰检测技术有限公司</w:t>
            </w:r>
            <w:r>
              <w:rPr>
                <w:rFonts w:hint="default" w:ascii="Times New Roman" w:hAnsi="Times New Roman" w:eastAsia="宋体" w:cs="Times New Roman"/>
                <w:color w:val="000000" w:themeColor="text1"/>
                <w:sz w:val="24"/>
                <w:szCs w:val="24"/>
                <w:highlight w:val="none"/>
                <w14:textFill>
                  <w14:solidFill>
                    <w14:schemeClr w14:val="tx1"/>
                  </w14:solidFill>
                </w14:textFill>
              </w:rPr>
              <w:t>于</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日至</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w:t>
            </w:r>
            <w:r>
              <w:rPr>
                <w:rFonts w:hint="default" w:ascii="Times New Roman" w:hAnsi="Times New Roman" w:eastAsia="宋体" w:cs="Times New Roman"/>
                <w:color w:val="000000" w:themeColor="text1"/>
                <w:sz w:val="24"/>
                <w:szCs w:val="24"/>
                <w:highlight w:val="none"/>
                <w14:textFill>
                  <w14:solidFill>
                    <w14:schemeClr w14:val="tx1"/>
                  </w14:solidFill>
                </w14:textFill>
              </w:rPr>
              <w:t>对双达高速韩集（临夏县）服务区加油加气站(AB站)项目进行环保验收监测。</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由于疫情期间，项目施工延缓，</w:t>
            </w:r>
            <w:r>
              <w:rPr>
                <w:rFonts w:hint="default" w:ascii="Times New Roman" w:hAnsi="Times New Roman" w:eastAsia="宋体" w:cs="Times New Roman"/>
                <w:color w:val="000000" w:themeColor="text1"/>
                <w:sz w:val="24"/>
                <w:szCs w:val="24"/>
                <w:highlight w:val="none"/>
                <w14:textFill>
                  <w14:solidFill>
                    <w14:schemeClr w14:val="tx1"/>
                  </w14:solidFill>
                </w14:textFill>
              </w:rPr>
              <w:t>本项目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于2023年11月</w:t>
            </w:r>
            <w:r>
              <w:rPr>
                <w:rFonts w:hint="default" w:ascii="Times New Roman" w:hAnsi="Times New Roman" w:eastAsia="宋体" w:cs="Times New Roman"/>
                <w:color w:val="000000" w:themeColor="text1"/>
                <w:sz w:val="24"/>
                <w:szCs w:val="24"/>
                <w:highlight w:val="none"/>
                <w14:textFill>
                  <w14:solidFill>
                    <w14:schemeClr w14:val="tx1"/>
                  </w14:solidFill>
                </w14:textFill>
              </w:rPr>
              <w:t>建设完成，此次针对本项目开展验收；</w:t>
            </w:r>
          </w:p>
          <w:p>
            <w:pPr>
              <w:pStyle w:val="21"/>
              <w:keepNext w:val="0"/>
              <w:keepLines w:val="0"/>
              <w:pageBreakBefore w:val="0"/>
              <w:widowControl w:val="0"/>
              <w:numPr>
                <w:ilvl w:val="0"/>
                <w:numId w:val="1"/>
              </w:numPr>
              <w:kinsoku/>
              <w:wordWrap/>
              <w:overflowPunct/>
              <w:topLinePunct w:val="0"/>
              <w:autoSpaceDE/>
              <w:autoSpaceDN/>
              <w:bidi w:val="0"/>
              <w:adjustRightInd/>
              <w:snapToGrid w:val="0"/>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本项目已于2024年2月29日取得固定污染源排污登记。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0" w:hRule="atLeast"/>
          <w:jc w:val="center"/>
        </w:trPr>
        <w:tc>
          <w:tcPr>
            <w:tcW w:w="1245" w:type="dxa"/>
            <w:vAlign w:val="center"/>
          </w:tcPr>
          <w:p>
            <w:pPr>
              <w:pStyle w:val="27"/>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验收监测评价标准、标号、级别、限值</w:t>
            </w:r>
          </w:p>
        </w:tc>
        <w:tc>
          <w:tcPr>
            <w:tcW w:w="7457" w:type="dxa"/>
            <w:gridSpan w:val="3"/>
            <w:vAlign w:val="center"/>
          </w:tcPr>
          <w:p>
            <w:pPr>
              <w:adjustRightInd w:val="0"/>
              <w:snapToGrid w:val="0"/>
              <w:spacing w:line="360" w:lineRule="auto"/>
              <w:ind w:firstLine="504" w:firstLineChars="200"/>
              <w:jc w:val="left"/>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0"/>
                <w:sz w:val="24"/>
                <w:szCs w:val="24"/>
                <w:highlight w:val="none"/>
                <w14:textFill>
                  <w14:solidFill>
                    <w14:schemeClr w14:val="tx1"/>
                  </w14:solidFill>
                </w14:textFill>
              </w:rPr>
              <w:t>本次验收环境影响调查，原则上与环评报告报告所采用的标准一致，对已修订新颁布的环境保护标准则采用新标准。</w:t>
            </w:r>
          </w:p>
          <w:p>
            <w:pPr>
              <w:adjustRightInd w:val="0"/>
              <w:snapToGrid w:val="0"/>
              <w:spacing w:line="360" w:lineRule="auto"/>
              <w:jc w:val="center"/>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表</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xml:space="preserve">-1 </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 xml:space="preserve"> 验收执行标准与环评使用标准对比表</w:t>
            </w:r>
          </w:p>
          <w:tbl>
            <w:tblPr>
              <w:tblStyle w:val="2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1316"/>
              <w:gridCol w:w="1610"/>
              <w:gridCol w:w="1389"/>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831"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类别</w:t>
                  </w:r>
                </w:p>
              </w:tc>
              <w:tc>
                <w:tcPr>
                  <w:tcW w:w="1995"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环评使用标准</w:t>
                  </w:r>
                </w:p>
              </w:tc>
              <w:tc>
                <w:tcPr>
                  <w:tcW w:w="2173"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验收监测标准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1"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下</w:t>
                  </w:r>
                  <w:r>
                    <w:rPr>
                      <w:rFonts w:hint="default" w:ascii="Times New Roman" w:hAnsi="Times New Roman" w:eastAsia="宋体" w:cs="Times New Roman"/>
                      <w:color w:val="000000" w:themeColor="text1"/>
                      <w:sz w:val="21"/>
                      <w:szCs w:val="21"/>
                      <w:highlight w:val="none"/>
                      <w14:textFill>
                        <w14:solidFill>
                          <w14:schemeClr w14:val="tx1"/>
                        </w14:solidFill>
                      </w14:textFill>
                    </w:rPr>
                    <w:t>水监测</w:t>
                  </w:r>
                </w:p>
              </w:tc>
              <w:tc>
                <w:tcPr>
                  <w:tcW w:w="1995" w:type="pct"/>
                  <w:gridSpan w:val="2"/>
                  <w:tcBorders>
                    <w:bottom w:val="single" w:color="auto" w:sz="4" w:space="0"/>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《地下水环境质量标准》（GB/T14848-2017）表1中Ⅲ类标准限值</w:t>
                  </w:r>
                </w:p>
              </w:tc>
              <w:tc>
                <w:tcPr>
                  <w:tcW w:w="2173"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《地下水环境质量标准》（GB/T14848-2017）表1中Ⅲ类标准限值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31"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废水监测</w:t>
                  </w:r>
                </w:p>
              </w:tc>
              <w:tc>
                <w:tcPr>
                  <w:tcW w:w="1995" w:type="pct"/>
                  <w:gridSpan w:val="2"/>
                  <w:tcBorders>
                    <w:bottom w:val="single" w:color="auto" w:sz="4" w:space="0"/>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污水综合排放标准</w:t>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(GB8978-1996)表4中三级标准限值</w:t>
                  </w:r>
                </w:p>
              </w:tc>
              <w:tc>
                <w:tcPr>
                  <w:tcW w:w="2173"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污水综合排放标准</w:t>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(GB8978-1996)表4中三级标准限值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831" w:type="pct"/>
                  <w:vMerge w:val="restar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废气监测</w:t>
                  </w:r>
                </w:p>
              </w:tc>
              <w:tc>
                <w:tcPr>
                  <w:tcW w:w="1995" w:type="pct"/>
                  <w:gridSpan w:val="2"/>
                  <w:tcBorders>
                    <w:bottom w:val="single" w:color="auto" w:sz="4" w:space="0"/>
                  </w:tcBorders>
                  <w:vAlign w:val="center"/>
                </w:tcPr>
                <w:p>
                  <w:pPr>
                    <w:pStyle w:val="19"/>
                    <w:jc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有组织油气排放执行《加油站大气污染物排放标准》（GB20952-20</w:t>
                  </w:r>
                  <w:r>
                    <w:rPr>
                      <w:rFonts w:hint="eastAsia" w:ascii="Times New Roman" w:hAnsi="Times New Roman" w:cs="Times New Roman"/>
                      <w:color w:val="FF0000"/>
                      <w:sz w:val="21"/>
                      <w:szCs w:val="21"/>
                      <w:highlight w:val="none"/>
                      <w:lang w:val="en-US" w:eastAsia="zh-CN"/>
                    </w:rPr>
                    <w:t>20</w:t>
                  </w:r>
                  <w:r>
                    <w:rPr>
                      <w:rFonts w:hint="default" w:ascii="Times New Roman" w:hAnsi="Times New Roman" w:eastAsia="宋体" w:cs="Times New Roman"/>
                      <w:color w:val="FF0000"/>
                      <w:sz w:val="21"/>
                      <w:szCs w:val="21"/>
                      <w:highlight w:val="none"/>
                      <w:lang w:eastAsia="zh-CN"/>
                    </w:rPr>
                    <w:t>）标准</w:t>
                  </w:r>
                </w:p>
              </w:tc>
              <w:tc>
                <w:tcPr>
                  <w:tcW w:w="2173" w:type="pct"/>
                  <w:gridSpan w:val="2"/>
                  <w:vAlign w:val="center"/>
                </w:tcPr>
                <w:p>
                  <w:pPr>
                    <w:pStyle w:val="19"/>
                    <w:jc w:val="center"/>
                    <w:rPr>
                      <w:rFonts w:hint="default" w:ascii="Times New Roman" w:hAnsi="Times New Roman" w:eastAsia="宋体" w:cs="Times New Roman"/>
                      <w:color w:val="000000" w:themeColor="text1"/>
                      <w:kern w:val="2"/>
                      <w:sz w:val="21"/>
                      <w:szCs w:val="21"/>
                      <w:highlight w:val="none"/>
                      <w:lang w:eastAsia="zh-CN"/>
                      <w14:textFill>
                        <w14:solidFill>
                          <w14:schemeClr w14:val="tx1"/>
                        </w14:solidFill>
                      </w14:textFill>
                    </w:rPr>
                  </w:pPr>
                  <w:r>
                    <w:rPr>
                      <w:rFonts w:hint="default" w:ascii="Times New Roman" w:hAnsi="Times New Roman" w:eastAsia="宋体" w:cs="Times New Roman"/>
                      <w:color w:val="FF0000"/>
                      <w:sz w:val="21"/>
                      <w:szCs w:val="21"/>
                      <w:highlight w:val="none"/>
                      <w:lang w:eastAsia="zh-CN"/>
                    </w:rPr>
                    <w:t>有组织油气排放执行《加油站大气污染物排放标准》（GB20952-20</w:t>
                  </w:r>
                  <w:r>
                    <w:rPr>
                      <w:rFonts w:hint="eastAsia" w:ascii="Times New Roman" w:hAnsi="Times New Roman" w:cs="Times New Roman"/>
                      <w:color w:val="FF0000"/>
                      <w:sz w:val="21"/>
                      <w:szCs w:val="21"/>
                      <w:highlight w:val="none"/>
                      <w:lang w:val="en-US" w:eastAsia="zh-CN"/>
                    </w:rPr>
                    <w:t>20</w:t>
                  </w:r>
                  <w:r>
                    <w:rPr>
                      <w:rFonts w:hint="default" w:ascii="Times New Roman" w:hAnsi="Times New Roman" w:eastAsia="宋体" w:cs="Times New Roman"/>
                      <w:color w:val="FF0000"/>
                      <w:sz w:val="21"/>
                      <w:szCs w:val="21"/>
                      <w:highlight w:val="none"/>
                      <w:lang w:eastAsia="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831" w:type="pct"/>
                  <w:vMerge w:val="continue"/>
                  <w:vAlign w:val="center"/>
                </w:tcPr>
                <w:p>
                  <w:pPr>
                    <w:pStyle w:val="19"/>
                    <w:jc w:val="center"/>
                  </w:pPr>
                </w:p>
              </w:tc>
              <w:tc>
                <w:tcPr>
                  <w:tcW w:w="1995" w:type="pct"/>
                  <w:gridSpan w:val="2"/>
                  <w:tcBorders>
                    <w:bottom w:val="single" w:color="auto" w:sz="4" w:space="0"/>
                  </w:tcBorders>
                  <w:vAlign w:val="center"/>
                </w:tcPr>
                <w:p>
                  <w:pPr>
                    <w:pStyle w:val="19"/>
                    <w:jc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color w:val="FF0000"/>
                      <w:sz w:val="21"/>
                      <w:szCs w:val="21"/>
                      <w:highlight w:val="none"/>
                      <w:lang w:eastAsia="zh-CN"/>
                    </w:rPr>
                    <w:t>无组织废气执行《挥发性有机物无组织排放控制标准（GB37822-2019）》限值</w:t>
                  </w:r>
                </w:p>
              </w:tc>
              <w:tc>
                <w:tcPr>
                  <w:tcW w:w="2173" w:type="pct"/>
                  <w:gridSpan w:val="2"/>
                  <w:vAlign w:val="center"/>
                </w:tcPr>
                <w:p>
                  <w:pPr>
                    <w:pStyle w:val="19"/>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FF0000"/>
                      <w:sz w:val="21"/>
                      <w:szCs w:val="21"/>
                      <w:highlight w:val="none"/>
                      <w:lang w:eastAsia="zh-CN"/>
                    </w:rPr>
                    <w:t>无组织废气执行《挥发性有机物无组织排放控制标准（GB37822-2019）》限值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97" w:type="pct"/>
                  <w:tcBorders>
                    <w:bottom w:val="single" w:color="auto" w:sz="4" w:space="0"/>
                  </w:tcBorders>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项目</w:t>
                  </w:r>
                </w:p>
              </w:tc>
              <w:tc>
                <w:tcPr>
                  <w:tcW w:w="1097" w:type="pct"/>
                  <w:tcBorders>
                    <w:bottom w:val="single" w:color="auto" w:sz="4" w:space="0"/>
                  </w:tcBorders>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排放浓度（mg/m</w:t>
                  </w:r>
                  <w:r>
                    <w:rPr>
                      <w:rFonts w:hint="default" w:ascii="Times New Roman" w:hAnsi="Times New Roman" w:eastAsia="宋体" w:cs="Times New Roman"/>
                      <w:color w:val="FF0000"/>
                      <w:kern w:val="2"/>
                      <w:sz w:val="21"/>
                      <w:szCs w:val="21"/>
                      <w:highlight w:val="none"/>
                      <w:vertAlign w:val="superscript"/>
                    </w:rPr>
                    <w:t>3</w:t>
                  </w:r>
                  <w:r>
                    <w:rPr>
                      <w:rFonts w:hint="default" w:ascii="Times New Roman" w:hAnsi="Times New Roman" w:eastAsia="宋体" w:cs="Times New Roman"/>
                      <w:color w:val="FF0000"/>
                      <w:kern w:val="2"/>
                      <w:sz w:val="21"/>
                      <w:szCs w:val="21"/>
                      <w:highlight w:val="none"/>
                    </w:rPr>
                    <w:t>)</w:t>
                  </w:r>
                </w:p>
              </w:tc>
              <w:tc>
                <w:tcPr>
                  <w:tcW w:w="947"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项目</w:t>
                  </w:r>
                </w:p>
              </w:tc>
              <w:tc>
                <w:tcPr>
                  <w:tcW w:w="1225"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97"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非甲烷总烃</w:t>
                  </w:r>
                </w:p>
              </w:tc>
              <w:tc>
                <w:tcPr>
                  <w:tcW w:w="1097"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25g/m</w:t>
                  </w:r>
                  <w:r>
                    <w:rPr>
                      <w:rFonts w:hint="default" w:ascii="Times New Roman" w:hAnsi="Times New Roman" w:eastAsia="宋体" w:cs="Times New Roman"/>
                      <w:color w:val="FF0000"/>
                      <w:kern w:val="2"/>
                      <w:sz w:val="21"/>
                      <w:szCs w:val="21"/>
                      <w:highlight w:val="none"/>
                      <w:vertAlign w:val="superscript"/>
                    </w:rPr>
                    <w:t>3</w:t>
                  </w:r>
                </w:p>
              </w:tc>
              <w:tc>
                <w:tcPr>
                  <w:tcW w:w="947" w:type="pct"/>
                  <w:vAlign w:val="center"/>
                </w:tcPr>
                <w:p>
                  <w:pPr>
                    <w:pStyle w:val="19"/>
                    <w:jc w:val="center"/>
                    <w:rPr>
                      <w:rFonts w:hint="eastAsia" w:ascii="Times New Roman" w:hAnsi="Times New Roman" w:eastAsia="宋体" w:cs="Times New Roman"/>
                      <w:color w:val="FF0000"/>
                      <w:kern w:val="2"/>
                      <w:sz w:val="21"/>
                      <w:szCs w:val="21"/>
                      <w:highlight w:val="none"/>
                      <w:lang w:val="en-US" w:eastAsia="zh-CN"/>
                    </w:rPr>
                  </w:pPr>
                  <w:r>
                    <w:rPr>
                      <w:rFonts w:hint="default" w:ascii="Times New Roman" w:hAnsi="Times New Roman" w:eastAsia="宋体" w:cs="Times New Roman"/>
                      <w:color w:val="FF0000"/>
                      <w:kern w:val="2"/>
                      <w:sz w:val="21"/>
                      <w:szCs w:val="21"/>
                      <w:highlight w:val="none"/>
                    </w:rPr>
                    <w:t>非甲烷总烃</w:t>
                  </w:r>
                </w:p>
              </w:tc>
              <w:tc>
                <w:tcPr>
                  <w:tcW w:w="1225"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eastAsia" w:ascii="Times New Roman" w:hAnsi="Times New Roman" w:cs="Times New Roman"/>
                      <w:color w:val="FF0000"/>
                      <w:kern w:val="2"/>
                      <w:sz w:val="21"/>
                      <w:szCs w:val="21"/>
                      <w:highlight w:val="none"/>
                      <w:lang w:val="en-US" w:eastAsia="zh-CN"/>
                    </w:rPr>
                    <w:t>25</w:t>
                  </w:r>
                  <w:r>
                    <w:rPr>
                      <w:rFonts w:hint="default" w:ascii="Times New Roman" w:hAnsi="Times New Roman" w:eastAsia="宋体" w:cs="Times New Roman"/>
                      <w:color w:val="FF0000"/>
                      <w:kern w:val="2"/>
                      <w:sz w:val="21"/>
                      <w:szCs w:val="21"/>
                      <w:highlight w:val="none"/>
                    </w:rPr>
                    <w:t>g/m</w:t>
                  </w:r>
                  <w:r>
                    <w:rPr>
                      <w:rFonts w:hint="default" w:ascii="Times New Roman" w:hAnsi="Times New Roman" w:eastAsia="宋体" w:cs="Times New Roman"/>
                      <w:color w:val="FF0000"/>
                      <w:kern w:val="2"/>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97" w:type="pct"/>
                  <w:tcBorders>
                    <w:bottom w:val="single" w:color="auto" w:sz="4" w:space="0"/>
                  </w:tcBorders>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非甲烷总烃</w:t>
                  </w:r>
                </w:p>
              </w:tc>
              <w:tc>
                <w:tcPr>
                  <w:tcW w:w="1097" w:type="pct"/>
                  <w:tcBorders>
                    <w:bottom w:val="single" w:color="auto" w:sz="4" w:space="0"/>
                  </w:tcBorders>
                  <w:vAlign w:val="center"/>
                </w:tcPr>
                <w:p>
                  <w:pPr>
                    <w:pStyle w:val="19"/>
                    <w:jc w:val="center"/>
                    <w:rPr>
                      <w:rFonts w:hint="eastAsia" w:ascii="Times New Roman" w:hAnsi="Times New Roman" w:cs="Times New Roman"/>
                      <w:color w:val="FF0000"/>
                      <w:kern w:val="2"/>
                      <w:sz w:val="21"/>
                      <w:szCs w:val="21"/>
                      <w:highlight w:val="none"/>
                      <w:lang w:eastAsia="zh-CN"/>
                    </w:rPr>
                  </w:pPr>
                  <w:r>
                    <w:rPr>
                      <w:rFonts w:hint="default" w:ascii="Times New Roman" w:hAnsi="Times New Roman" w:eastAsia="宋体" w:cs="Times New Roman"/>
                      <w:color w:val="FF0000"/>
                      <w:kern w:val="2"/>
                      <w:sz w:val="21"/>
                      <w:szCs w:val="21"/>
                      <w:highlight w:val="none"/>
                    </w:rPr>
                    <w:t>10</w:t>
                  </w:r>
                  <w:r>
                    <w:rPr>
                      <w:rFonts w:hint="eastAsia" w:ascii="Times New Roman" w:hAnsi="Times New Roman" w:cs="Times New Roman"/>
                      <w:color w:val="FF0000"/>
                      <w:kern w:val="2"/>
                      <w:sz w:val="21"/>
                      <w:szCs w:val="21"/>
                      <w:highlight w:val="none"/>
                      <w:lang w:eastAsia="zh-CN"/>
                    </w:rPr>
                    <w:t>（1h平均浓度）</w:t>
                  </w:r>
                </w:p>
                <w:p>
                  <w:pPr>
                    <w:pStyle w:val="19"/>
                    <w:jc w:val="center"/>
                    <w:rPr>
                      <w:rFonts w:hint="default" w:ascii="Times New Roman" w:hAnsi="Times New Roman" w:eastAsia="宋体" w:cs="Times New Roman"/>
                      <w:color w:val="FF0000"/>
                      <w:kern w:val="2"/>
                      <w:sz w:val="21"/>
                      <w:szCs w:val="21"/>
                      <w:highlight w:val="none"/>
                      <w:lang w:val="en-US" w:eastAsia="zh-CN"/>
                    </w:rPr>
                  </w:pPr>
                  <w:r>
                    <w:rPr>
                      <w:rFonts w:hint="eastAsia" w:ascii="Times New Roman" w:hAnsi="Times New Roman" w:cs="Times New Roman"/>
                      <w:color w:val="FF0000"/>
                      <w:kern w:val="2"/>
                      <w:sz w:val="21"/>
                      <w:szCs w:val="21"/>
                      <w:highlight w:val="none"/>
                      <w:lang w:val="en-US" w:eastAsia="zh-CN"/>
                    </w:rPr>
                    <w:t>30（任意一次浓度）</w:t>
                  </w:r>
                </w:p>
              </w:tc>
              <w:tc>
                <w:tcPr>
                  <w:tcW w:w="947" w:type="pct"/>
                  <w:vAlign w:val="center"/>
                </w:tcPr>
                <w:p>
                  <w:pPr>
                    <w:pStyle w:val="19"/>
                    <w:jc w:val="center"/>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FF0000"/>
                      <w:kern w:val="2"/>
                      <w:sz w:val="21"/>
                      <w:szCs w:val="21"/>
                      <w:highlight w:val="none"/>
                    </w:rPr>
                    <w:t>非甲烷总烃</w:t>
                  </w:r>
                </w:p>
              </w:tc>
              <w:tc>
                <w:tcPr>
                  <w:tcW w:w="1225" w:type="pct"/>
                  <w:vAlign w:val="center"/>
                </w:tcPr>
                <w:p>
                  <w:pPr>
                    <w:pStyle w:val="19"/>
                    <w:jc w:val="center"/>
                    <w:rPr>
                      <w:rFonts w:hint="eastAsia" w:ascii="Times New Roman" w:hAnsi="Times New Roman" w:cs="Times New Roman"/>
                      <w:color w:val="FF0000"/>
                      <w:kern w:val="2"/>
                      <w:sz w:val="21"/>
                      <w:szCs w:val="21"/>
                      <w:highlight w:val="none"/>
                      <w:lang w:eastAsia="zh-CN"/>
                    </w:rPr>
                  </w:pPr>
                  <w:r>
                    <w:rPr>
                      <w:rFonts w:hint="default" w:ascii="Times New Roman" w:hAnsi="Times New Roman" w:eastAsia="宋体" w:cs="Times New Roman"/>
                      <w:color w:val="FF0000"/>
                      <w:kern w:val="2"/>
                      <w:sz w:val="21"/>
                      <w:szCs w:val="21"/>
                      <w:highlight w:val="none"/>
                    </w:rPr>
                    <w:t>10</w:t>
                  </w:r>
                  <w:r>
                    <w:rPr>
                      <w:rFonts w:hint="eastAsia" w:ascii="Times New Roman" w:hAnsi="Times New Roman" w:cs="Times New Roman"/>
                      <w:color w:val="FF0000"/>
                      <w:kern w:val="2"/>
                      <w:sz w:val="21"/>
                      <w:szCs w:val="21"/>
                      <w:highlight w:val="none"/>
                      <w:lang w:eastAsia="zh-CN"/>
                    </w:rPr>
                    <w:t>（1h平均浓度）</w:t>
                  </w:r>
                </w:p>
                <w:p>
                  <w:pPr>
                    <w:pStyle w:val="19"/>
                    <w:jc w:val="center"/>
                    <w:rPr>
                      <w:rFonts w:hint="default" w:ascii="Times New Roman" w:hAnsi="Times New Roman" w:eastAsia="宋体" w:cs="Times New Roman"/>
                      <w:color w:val="FF0000"/>
                      <w:kern w:val="2"/>
                      <w:sz w:val="21"/>
                      <w:szCs w:val="21"/>
                      <w:highlight w:val="none"/>
                      <w:lang w:val="en-US" w:eastAsia="zh-CN"/>
                    </w:rPr>
                  </w:pPr>
                  <w:r>
                    <w:rPr>
                      <w:rFonts w:hint="eastAsia" w:ascii="Times New Roman" w:hAnsi="Times New Roman" w:cs="Times New Roman"/>
                      <w:color w:val="FF0000"/>
                      <w:kern w:val="2"/>
                      <w:sz w:val="21"/>
                      <w:szCs w:val="21"/>
                      <w:highlight w:val="none"/>
                      <w:lang w:val="en-US" w:eastAsia="zh-CN"/>
                    </w:rPr>
                    <w:t>30（任意一次浓度）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31" w:type="pct"/>
                  <w:vMerge w:val="restar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厂界噪声</w:t>
                  </w:r>
                </w:p>
              </w:tc>
              <w:tc>
                <w:tcPr>
                  <w:tcW w:w="1995"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站区噪声满足《工业企业厂界环境噪声排放标准》(GB12348-2008)中2类区标准</w:t>
                  </w:r>
                </w:p>
              </w:tc>
              <w:tc>
                <w:tcPr>
                  <w:tcW w:w="2173"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站区噪声满足《工业企业厂界环境噪声排放标准》(GB12348-2008)中2类区标准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995"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2类，单位：dB（A）</w:t>
                  </w:r>
                </w:p>
              </w:tc>
              <w:tc>
                <w:tcPr>
                  <w:tcW w:w="2173" w:type="pct"/>
                  <w:gridSpan w:val="2"/>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2类，单位：dB（A）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9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昼间</w:t>
                  </w:r>
                </w:p>
              </w:tc>
              <w:tc>
                <w:tcPr>
                  <w:tcW w:w="109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60</w:t>
                  </w:r>
                </w:p>
              </w:tc>
              <w:tc>
                <w:tcPr>
                  <w:tcW w:w="94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昼间</w:t>
                  </w:r>
                </w:p>
              </w:tc>
              <w:tc>
                <w:tcPr>
                  <w:tcW w:w="1225"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831" w:type="pct"/>
                  <w:vMerge w:val="continue"/>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9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夜间</w:t>
                  </w:r>
                </w:p>
              </w:tc>
              <w:tc>
                <w:tcPr>
                  <w:tcW w:w="109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50</w:t>
                  </w:r>
                </w:p>
              </w:tc>
              <w:tc>
                <w:tcPr>
                  <w:tcW w:w="947"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夜间</w:t>
                  </w:r>
                </w:p>
              </w:tc>
              <w:tc>
                <w:tcPr>
                  <w:tcW w:w="1225" w:type="pct"/>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50</w:t>
                  </w:r>
                </w:p>
              </w:tc>
            </w:tr>
          </w:tbl>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根据以上列表中可看出，验收类别主要包含地表水、废气监测、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废水监测</w:t>
            </w:r>
            <w:r>
              <w:rPr>
                <w:rFonts w:hint="default" w:ascii="Times New Roman" w:hAnsi="Times New Roman" w:eastAsia="宋体" w:cs="Times New Roman"/>
                <w:color w:val="000000" w:themeColor="text1"/>
                <w:sz w:val="24"/>
                <w:szCs w:val="24"/>
                <w:highlight w:val="none"/>
                <w14:textFill>
                  <w14:solidFill>
                    <w14:schemeClr w14:val="tx1"/>
                  </w14:solidFill>
                </w14:textFill>
              </w:rPr>
              <w:t>、噪声监测；验收执行标准严格按照环评以及批复提出的执行标准进行验收，地下水监测标准按照《地下水环境质量标准》（GB/T14848-2017）表1中Ⅲ类标准限值；无组织排放满足《挥发性有机物无组织排放控制标准（GB37822-2019）》中非甲烷总烃无组织排放标准限值；</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废水监测满足</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污水综合排放标准</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(GB 8978-1996)表4中三级标准限值</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噪声满足《工业企业厂界环境噪声排放标准》（GB12348-2008）中2类标准要求。验收执行标准在实际建设中未发生变化。</w:t>
            </w:r>
          </w:p>
          <w:p>
            <w:pPr>
              <w:pStyle w:val="21"/>
              <w:keepNext w:val="0"/>
              <w:keepLines w:val="0"/>
              <w:pageBreakBefore w:val="0"/>
              <w:widowControl w:val="0"/>
              <w:kinsoku/>
              <w:wordWrap/>
              <w:overflowPunct/>
              <w:topLinePunct w:val="0"/>
              <w:autoSpaceDE/>
              <w:autoSpaceDN/>
              <w:bidi w:val="0"/>
              <w:adjustRightInd/>
              <w:snapToGrid w:val="0"/>
              <w:spacing w:after="0" w:line="360" w:lineRule="auto"/>
              <w:ind w:left="0" w:leftChars="0" w:firstLine="0" w:firstLineChars="0"/>
              <w:textAlignment w:val="auto"/>
              <w:rPr>
                <w:rFonts w:hint="default" w:ascii="Times New Roman" w:hAnsi="Times New Roman" w:eastAsia="宋体" w:cs="Times New Roman"/>
                <w:color w:val="000000" w:themeColor="text1"/>
                <w:kern w:val="0"/>
                <w:sz w:val="24"/>
                <w:szCs w:val="24"/>
                <w:highlight w:val="none"/>
                <w:lang w:val="en-US" w:eastAsia="zh-CN" w:bidi="ar-BH"/>
                <w14:textFill>
                  <w14:solidFill>
                    <w14:schemeClr w14:val="tx1"/>
                  </w14:solidFill>
                </w14:textFill>
              </w:rPr>
            </w:pPr>
          </w:p>
          <w:p>
            <w:pPr>
              <w:pStyle w:val="21"/>
              <w:keepNext w:val="0"/>
              <w:keepLines w:val="0"/>
              <w:pageBreakBefore w:val="0"/>
              <w:widowControl w:val="0"/>
              <w:kinsoku/>
              <w:wordWrap/>
              <w:overflowPunct/>
              <w:topLinePunct w:val="0"/>
              <w:autoSpaceDE/>
              <w:autoSpaceDN/>
              <w:bidi w:val="0"/>
              <w:adjustRightInd/>
              <w:snapToGrid w:val="0"/>
              <w:spacing w:after="0" w:line="360" w:lineRule="auto"/>
              <w:ind w:left="0" w:leftChars="0" w:firstLine="0" w:firstLineChars="0"/>
              <w:textAlignment w:val="auto"/>
              <w:rPr>
                <w:rFonts w:hint="default" w:ascii="Times New Roman" w:hAnsi="Times New Roman" w:eastAsia="宋体" w:cs="Times New Roman"/>
                <w:color w:val="000000" w:themeColor="text1"/>
                <w:kern w:val="0"/>
                <w:sz w:val="24"/>
                <w:szCs w:val="24"/>
                <w:highlight w:val="none"/>
                <w:lang w:val="en-US" w:eastAsia="zh-CN" w:bidi="ar-BH"/>
                <w14:textFill>
                  <w14:solidFill>
                    <w14:schemeClr w14:val="tx1"/>
                  </w14:solidFill>
                </w14:textFill>
              </w:rPr>
            </w:pPr>
          </w:p>
          <w:p>
            <w:pPr>
              <w:pStyle w:val="21"/>
              <w:keepNext w:val="0"/>
              <w:keepLines w:val="0"/>
              <w:pageBreakBefore w:val="0"/>
              <w:widowControl w:val="0"/>
              <w:kinsoku/>
              <w:wordWrap/>
              <w:overflowPunct/>
              <w:topLinePunct w:val="0"/>
              <w:autoSpaceDE/>
              <w:autoSpaceDN/>
              <w:bidi w:val="0"/>
              <w:adjustRightInd/>
              <w:snapToGrid w:val="0"/>
              <w:spacing w:after="0" w:line="360" w:lineRule="auto"/>
              <w:ind w:left="0" w:leftChars="0" w:firstLine="0" w:firstLineChars="0"/>
              <w:textAlignment w:val="auto"/>
              <w:rPr>
                <w:rFonts w:hint="default" w:ascii="Times New Roman" w:hAnsi="Times New Roman" w:eastAsia="宋体" w:cs="Times New Roman"/>
                <w:color w:val="000000" w:themeColor="text1"/>
                <w:kern w:val="0"/>
                <w:sz w:val="24"/>
                <w:szCs w:val="24"/>
                <w:highlight w:val="none"/>
                <w:lang w:val="en-US" w:eastAsia="zh-CN" w:bidi="ar-BH"/>
                <w14:textFill>
                  <w14:solidFill>
                    <w14:schemeClr w14:val="tx1"/>
                  </w14:solidFill>
                </w14:textFill>
              </w:rPr>
            </w:pPr>
          </w:p>
          <w:p>
            <w:pPr>
              <w:pStyle w:val="27"/>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bl>
    <w:p>
      <w:pPr>
        <w:spacing w:line="0" w:lineRule="atLeast"/>
        <w:rPr>
          <w:rFonts w:hint="eastAsia" w:asciiTheme="minorEastAsia" w:hAnsiTheme="minorEastAsia" w:eastAsiaTheme="minorEastAsia" w:cstheme="minorEastAsia"/>
          <w:b/>
          <w:bCs/>
          <w:color w:val="000000" w:themeColor="text1"/>
          <w:sz w:val="28"/>
          <w:szCs w:val="28"/>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highlight w:val="none"/>
          <w14:textFill>
            <w14:solidFill>
              <w14:schemeClr w14:val="tx1"/>
            </w14:solidFill>
          </w14:textFill>
        </w:rPr>
        <w:t>表二</w:t>
      </w:r>
    </w:p>
    <w:tbl>
      <w:tblPr>
        <w:tblStyle w:val="23"/>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779" w:type="dxa"/>
            <w:vAlign w:val="top"/>
          </w:tcPr>
          <w:p>
            <w:pPr>
              <w:pStyle w:val="27"/>
              <w:spacing w:line="360" w:lineRule="auto"/>
              <w:jc w:val="both"/>
              <w:rPr>
                <w:rFonts w:hint="eastAsia"/>
                <w:b/>
                <w:color w:val="0000FF"/>
                <w:sz w:val="28"/>
                <w:szCs w:val="28"/>
                <w:highlight w:val="none"/>
              </w:rPr>
            </w:pPr>
            <w:r>
              <w:rPr>
                <w:rFonts w:hint="default" w:ascii="Times New Roman" w:hAnsi="Times New Roman" w:cs="Times New Roman"/>
                <w:b/>
                <w:color w:val="auto"/>
                <w:sz w:val="24"/>
                <w:szCs w:val="24"/>
                <w:highlight w:val="none"/>
                <w:lang w:val="en-US" w:eastAsia="zh-CN"/>
              </w:rPr>
              <w:t>2.1</w:t>
            </w:r>
            <w:r>
              <w:rPr>
                <w:rFonts w:hint="eastAsia" w:ascii="Times New Roman" w:cs="Times New Roman"/>
                <w:b/>
                <w:color w:val="auto"/>
                <w:sz w:val="24"/>
                <w:szCs w:val="24"/>
                <w:highlight w:val="none"/>
                <w:lang w:val="en-US" w:eastAsia="zh-CN"/>
              </w:rPr>
              <w:t>、</w:t>
            </w:r>
            <w:r>
              <w:rPr>
                <w:rFonts w:hint="default" w:ascii="Times New Roman" w:hAnsi="Times New Roman" w:cs="Times New Roman"/>
                <w:b/>
                <w:color w:val="auto"/>
                <w:sz w:val="24"/>
                <w:szCs w:val="24"/>
                <w:highlight w:val="none"/>
                <w:lang w:val="en-US" w:eastAsia="zh-CN"/>
              </w:rPr>
              <w:t>工</w:t>
            </w:r>
            <w:r>
              <w:rPr>
                <w:rFonts w:hint="eastAsia"/>
                <w:b/>
                <w:color w:val="auto"/>
                <w:sz w:val="24"/>
                <w:szCs w:val="24"/>
                <w:highlight w:val="none"/>
                <w:lang w:val="en-US" w:eastAsia="zh-CN"/>
              </w:rPr>
              <w:t>程建设内容</w:t>
            </w:r>
            <w:r>
              <w:rPr>
                <w:rFonts w:hint="eastAsia"/>
                <w:b/>
                <w:color w:val="0000FF"/>
                <w:sz w:val="28"/>
                <w:szCs w:val="28"/>
                <w:highlight w:val="none"/>
              </w:rPr>
              <w:t xml:space="preserve"> </w:t>
            </w:r>
          </w:p>
          <w:p>
            <w:pPr>
              <w:pStyle w:val="27"/>
              <w:spacing w:line="360" w:lineRule="auto"/>
              <w:jc w:val="both"/>
              <w:rPr>
                <w:rFonts w:ascii="Times New Roman" w:cs="Times New Roman"/>
                <w:b/>
                <w:bCs/>
                <w:color w:val="auto"/>
                <w:highlight w:val="none"/>
              </w:rPr>
            </w:pPr>
            <w:r>
              <w:rPr>
                <w:rFonts w:hint="eastAsia" w:ascii="Times New Roman" w:cs="Times New Roman"/>
                <w:b/>
                <w:bCs/>
                <w:color w:val="auto"/>
                <w:highlight w:val="none"/>
                <w:lang w:val="en-US" w:eastAsia="zh-CN"/>
              </w:rPr>
              <w:t>2.1.1、</w:t>
            </w:r>
            <w:r>
              <w:rPr>
                <w:rFonts w:ascii="Times New Roman" w:hAnsi="宋体" w:cs="Times New Roman"/>
                <w:b/>
                <w:bCs/>
                <w:color w:val="auto"/>
                <w:highlight w:val="none"/>
              </w:rPr>
              <w:t>项目名称及建设单位</w:t>
            </w:r>
          </w:p>
          <w:p>
            <w:pPr>
              <w:pStyle w:val="27"/>
              <w:spacing w:line="360" w:lineRule="auto"/>
              <w:jc w:val="both"/>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 xml:space="preserve">项目名称：双达高速韩集（临夏县）服务区加油加气站 (AB站)项目    </w:t>
            </w:r>
          </w:p>
          <w:p>
            <w:pPr>
              <w:pStyle w:val="27"/>
              <w:spacing w:line="360" w:lineRule="auto"/>
              <w:jc w:val="both"/>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建设单位：</w:t>
            </w:r>
            <w:r>
              <w:rPr>
                <w:rFonts w:hint="default" w:ascii="Times New Roman" w:hAnsi="Times New Roman" w:eastAsia="宋体" w:cs="Times New Roman"/>
                <w:color w:val="000000" w:themeColor="text1"/>
                <w:sz w:val="24"/>
                <w:highlight w:val="none"/>
                <w14:textFill>
                  <w14:solidFill>
                    <w14:schemeClr w14:val="tx1"/>
                  </w14:solidFill>
                </w14:textFill>
              </w:rPr>
              <w:t>甘肃公航旅中油能源有限责任公司</w:t>
            </w:r>
          </w:p>
          <w:p>
            <w:pPr>
              <w:spacing w:line="360" w:lineRule="auto"/>
              <w:rPr>
                <w:rFonts w:ascii="Times New Roman" w:hAnsi="宋体" w:eastAsia="宋体" w:cs="Times New Roman"/>
                <w:b/>
                <w:color w:val="auto"/>
                <w:sz w:val="24"/>
                <w:szCs w:val="24"/>
                <w:highlight w:val="none"/>
              </w:rPr>
            </w:pPr>
            <w:r>
              <w:rPr>
                <w:rFonts w:hint="eastAsia" w:ascii="Times New Roman" w:hAnsi="Times New Roman" w:eastAsia="宋体" w:cs="Times New Roman"/>
                <w:b/>
                <w:color w:val="auto"/>
                <w:sz w:val="24"/>
                <w:szCs w:val="24"/>
                <w:highlight w:val="none"/>
                <w:lang w:val="en-US" w:eastAsia="zh-CN"/>
              </w:rPr>
              <w:t>2.1.2、</w:t>
            </w:r>
            <w:r>
              <w:rPr>
                <w:rFonts w:ascii="Times New Roman" w:hAnsi="宋体" w:eastAsia="宋体" w:cs="Times New Roman"/>
                <w:b/>
                <w:color w:val="auto"/>
                <w:sz w:val="24"/>
                <w:szCs w:val="24"/>
                <w:highlight w:val="none"/>
              </w:rPr>
              <w:t>项目地理位置</w:t>
            </w:r>
          </w:p>
          <w:p>
            <w:pPr>
              <w:adjustRightInd w:val="0"/>
              <w:snapToGrid w:val="0"/>
              <w:spacing w:line="360" w:lineRule="auto"/>
              <w:ind w:firstLine="480" w:firstLineChars="200"/>
              <w:contextualSpacing/>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甘肃省临夏回族自治州韩集镇麻尼寺沟乡韩集服务区内，A站位于双达高速韩集服务区内北侧，地理坐标为东经102°56′34.412″，北纬35°29′55.040″；B站位于双达高速韩集服务区内南侧，地理坐标为东经102°56′41.558″，北纬35°29′57.304″</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pPr>
              <w:adjustRightInd w:val="0"/>
              <w:snapToGrid w:val="0"/>
              <w:spacing w:line="360" w:lineRule="auto"/>
              <w:ind w:firstLine="480" w:firstLineChars="200"/>
              <w:contextualSpacing/>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根据现场实际勘察，本项目建设地理位置未发生变化。本项目地理位置见图2-1</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及附图1</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pPr>
              <w:adjustRightInd w:val="0"/>
              <w:snapToGrid w:val="0"/>
              <w:spacing w:line="360" w:lineRule="auto"/>
              <w:contextualSpacing/>
              <w:jc w:val="center"/>
            </w:pPr>
            <w:r>
              <w:drawing>
                <wp:inline distT="0" distB="0" distL="114300" distR="114300">
                  <wp:extent cx="4841875" cy="3193415"/>
                  <wp:effectExtent l="0" t="0" r="15875" b="6985"/>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13"/>
                          <a:stretch>
                            <a:fillRect/>
                          </a:stretch>
                        </pic:blipFill>
                        <pic:spPr>
                          <a:xfrm>
                            <a:off x="0" y="0"/>
                            <a:ext cx="4841875" cy="3193415"/>
                          </a:xfrm>
                          <a:prstGeom prst="rect">
                            <a:avLst/>
                          </a:prstGeom>
                          <a:noFill/>
                          <a:ln>
                            <a:noFill/>
                          </a:ln>
                        </pic:spPr>
                      </pic:pic>
                    </a:graphicData>
                  </a:graphic>
                </wp:inline>
              </w:drawing>
            </w:r>
          </w:p>
          <w:p>
            <w:pPr>
              <w:adjustRightInd w:val="0"/>
              <w:snapToGrid w:val="0"/>
              <w:spacing w:line="360" w:lineRule="auto"/>
              <w:contextualSpacing/>
              <w:jc w:val="center"/>
              <w:rPr>
                <w:rFonts w:hint="default"/>
                <w:b/>
                <w:bCs/>
                <w:lang w:val="en-US" w:eastAsia="zh-CN"/>
              </w:rPr>
            </w:pPr>
            <w:r>
              <w:rPr>
                <w:rFonts w:hint="eastAsia" w:ascii="Times New Roman" w:hAnsi="Times New Roman" w:eastAsia="宋体" w:cs="Times New Roman"/>
                <w:b/>
                <w:bCs/>
                <w:color w:val="000000" w:themeColor="text1"/>
                <w:kern w:val="0"/>
                <w:sz w:val="24"/>
                <w:szCs w:val="24"/>
                <w:highlight w:val="none"/>
                <w:lang w:val="en-US" w:eastAsia="zh-CN" w:bidi="ar-SA"/>
                <w14:textFill>
                  <w14:solidFill>
                    <w14:schemeClr w14:val="tx1"/>
                  </w14:solidFill>
                </w14:textFill>
              </w:rPr>
              <w:t xml:space="preserve">图2-1     </w:t>
            </w:r>
            <w:r>
              <w:rPr>
                <w:rFonts w:hint="default" w:ascii="Times New Roman" w:hAnsi="Times New Roman" w:eastAsia="宋体" w:cs="Times New Roman"/>
                <w:b/>
                <w:bCs/>
                <w:color w:val="000000" w:themeColor="text1"/>
                <w:kern w:val="0"/>
                <w:sz w:val="24"/>
                <w:szCs w:val="24"/>
                <w:highlight w:val="none"/>
                <w:lang w:val="en-US" w:eastAsia="zh-CN" w:bidi="ar-SA"/>
                <w14:textFill>
                  <w14:solidFill>
                    <w14:schemeClr w14:val="tx1"/>
                  </w14:solidFill>
                </w14:textFill>
              </w:rPr>
              <w:t>本项目地理位置图</w:t>
            </w:r>
          </w:p>
          <w:p>
            <w:pPr>
              <w:pStyle w:val="21"/>
              <w:spacing w:after="0" w:line="360" w:lineRule="auto"/>
              <w:ind w:firstLine="0" w:firstLineChars="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2.1.3</w:t>
            </w:r>
            <w:r>
              <w:rPr>
                <w:rFonts w:hint="eastAsia" w:ascii="Times New Roman" w:hAnsi="Times New Roman" w:cs="Times New Roman"/>
                <w:b/>
                <w:color w:val="auto"/>
                <w:sz w:val="24"/>
                <w:szCs w:val="24"/>
                <w:highlight w:val="none"/>
                <w:lang w:val="en-US" w:eastAsia="zh-CN"/>
              </w:rPr>
              <w:t>、</w:t>
            </w:r>
            <w:r>
              <w:rPr>
                <w:rFonts w:hint="default" w:ascii="Times New Roman" w:hAnsi="Times New Roman" w:cs="Times New Roman"/>
                <w:b/>
                <w:color w:val="auto"/>
                <w:sz w:val="24"/>
                <w:szCs w:val="24"/>
                <w:highlight w:val="none"/>
              </w:rPr>
              <w:t>项目平面布置</w:t>
            </w:r>
          </w:p>
          <w:p>
            <w:pPr>
              <w:adjustRightInd w:val="0"/>
              <w:snapToGrid w:val="0"/>
              <w:spacing w:line="360" w:lineRule="auto"/>
              <w:ind w:firstLine="480" w:firstLineChars="20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根据现场勘察，本项目</w:t>
            </w: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加油加气站位于位于双达高速公路韩集两侧服务区内，高速公路西侧服务区内为A加油加气站，高速公路东侧服务区内为B加油加气站，平面布置分为站房、加油区、油罐区等区域。加油区两排岛间设置双车道，每台柴油机设两个加油位，每台汽油机设四个加油位，加油加气区两排岛间设置双车岛，每台LNG加气机设1个加气位，共设置5台加油机，2台LNG单枪加气机。前排大车柱间距设置为12m，后排小车柱间距设置为11m。加油罐区采用承重罐池形式，油罐采用防浮带固定，加油工艺管线采用直埋敷设。</w:t>
            </w:r>
          </w:p>
          <w:p>
            <w:pPr>
              <w:pStyle w:val="21"/>
              <w:spacing w:after="0" w:line="360" w:lineRule="auto"/>
              <w:ind w:firstLine="480" w:firstLineChars="200"/>
              <w:jc w:val="both"/>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A站：本站分为办公区、加油加气区、储油区、储气区四个区域。其中站房布置在站区居中，加油加气区布置在站区中部；油罐区布置在站房东北侧，紧邻加油罩棚，储气罐位于加油站南侧。</w:t>
            </w:r>
          </w:p>
          <w:p>
            <w:pPr>
              <w:pStyle w:val="21"/>
              <w:spacing w:after="0" w:line="360" w:lineRule="auto"/>
              <w:ind w:firstLine="480" w:firstLineChars="20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B站：本站分为办公区、加油加气区、储油区、储气区四个区域。其中站房布置在站区居中，加油加气岛布置在站区中部；油罐区布置在站房南侧，加气工艺区布置在站区北侧。</w:t>
            </w:r>
          </w:p>
          <w:p>
            <w:pPr>
              <w:pStyle w:val="21"/>
              <w:spacing w:after="0" w:line="360" w:lineRule="auto"/>
              <w:ind w:firstLine="480" w:firstLineChars="20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根据现场实际勘查，本项项目不新增敏感点、不新增污染物</w:t>
            </w:r>
            <w:r>
              <w:rPr>
                <w:rFonts w:hint="eastAsia"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，平面布置没有发生变化</w:t>
            </w: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，本项目平面布置见图</w:t>
            </w:r>
            <w:r>
              <w:rPr>
                <w:rFonts w:hint="eastAsia"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2-2</w:t>
            </w: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w:t>
            </w:r>
          </w:p>
          <w:p>
            <w:pPr>
              <w:pStyle w:val="21"/>
              <w:spacing w:after="0" w:line="360" w:lineRule="auto"/>
              <w:ind w:left="0" w:leftChars="0" w:firstLine="0" w:firstLineChars="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drawing>
                <wp:inline distT="0" distB="0" distL="114300" distR="114300">
                  <wp:extent cx="5572125" cy="3153410"/>
                  <wp:effectExtent l="0" t="0" r="9525" b="889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4"/>
                          <a:stretch>
                            <a:fillRect/>
                          </a:stretch>
                        </pic:blipFill>
                        <pic:spPr>
                          <a:xfrm>
                            <a:off x="0" y="0"/>
                            <a:ext cx="5572125" cy="3153410"/>
                          </a:xfrm>
                          <a:prstGeom prst="rect">
                            <a:avLst/>
                          </a:prstGeom>
                          <a:noFill/>
                          <a:ln>
                            <a:noFill/>
                          </a:ln>
                        </pic:spPr>
                      </pic:pic>
                    </a:graphicData>
                  </a:graphic>
                </wp:inline>
              </w:drawing>
            </w:r>
          </w:p>
          <w:p>
            <w:pPr>
              <w:pStyle w:val="21"/>
              <w:spacing w:after="0" w:line="360" w:lineRule="auto"/>
              <w:ind w:left="0" w:leftChars="0" w:firstLine="0" w:firstLineChars="0"/>
              <w:jc w:val="cente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图</w:t>
            </w:r>
            <w:r>
              <w:rPr>
                <w:rFonts w:hint="eastAsia"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 xml:space="preserve">2-2       </w:t>
            </w:r>
            <w:r>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本项目平面布置</w:t>
            </w:r>
            <w:r>
              <w:rPr>
                <w:rFonts w:hint="eastAsia"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图</w:t>
            </w:r>
          </w:p>
          <w:p>
            <w:pPr>
              <w:pStyle w:val="21"/>
              <w:spacing w:after="0" w:line="360" w:lineRule="auto"/>
              <w:ind w:left="0" w:leftChars="0" w:firstLine="0" w:firstLineChars="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2.1.4、</w:t>
            </w:r>
            <w:r>
              <w:rPr>
                <w:rFonts w:hint="default" w:ascii="Times New Roman" w:hAnsi="Times New Roman" w:eastAsia="宋体" w:cs="Times New Roman"/>
                <w:b/>
                <w:bCs/>
                <w:color w:val="000000" w:themeColor="text1"/>
                <w:sz w:val="24"/>
                <w:highlight w:val="none"/>
                <w14:textFill>
                  <w14:solidFill>
                    <w14:schemeClr w14:val="tx1"/>
                  </w14:solidFill>
                </w14:textFill>
              </w:rPr>
              <w:t>项目规模</w:t>
            </w:r>
          </w:p>
          <w:p>
            <w:pPr>
              <w:pStyle w:val="21"/>
              <w:spacing w:after="0" w:line="360" w:lineRule="auto"/>
              <w:ind w:firstLine="480" w:firstLineChars="20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环评阶段</w:t>
            </w:r>
            <w:r>
              <w:rPr>
                <w:rFonts w:hint="default" w:ascii="Times New Roman" w:hAnsi="Times New Roman" w:eastAsia="宋体" w:cs="Times New Roman"/>
                <w:color w:val="000000" w:themeColor="text1"/>
                <w:sz w:val="24"/>
                <w:highlight w:val="none"/>
                <w14:textFill>
                  <w14:solidFill>
                    <w14:schemeClr w14:val="tx1"/>
                  </w14:solidFill>
                </w14:textFill>
              </w:rPr>
              <w:t>总概算</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400</w:t>
            </w:r>
            <w:r>
              <w:rPr>
                <w:rFonts w:hint="default" w:ascii="Times New Roman" w:hAnsi="Times New Roman" w:eastAsia="宋体" w:cs="Times New Roman"/>
                <w:color w:val="000000" w:themeColor="text1"/>
                <w:sz w:val="24"/>
                <w:highlight w:val="none"/>
                <w14:textFill>
                  <w14:solidFill>
                    <w14:schemeClr w14:val="tx1"/>
                  </w14:solidFill>
                </w14:textFill>
              </w:rPr>
              <w:t>万元，环保投资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82.2</w:t>
            </w:r>
            <w:r>
              <w:rPr>
                <w:rFonts w:hint="default" w:ascii="Times New Roman" w:hAnsi="Times New Roman" w:eastAsia="宋体" w:cs="Times New Roman"/>
                <w:color w:val="000000" w:themeColor="text1"/>
                <w:sz w:val="24"/>
                <w:highlight w:val="none"/>
                <w14:textFill>
                  <w14:solidFill>
                    <w14:schemeClr w14:val="tx1"/>
                  </w14:solidFill>
                </w14:textFill>
              </w:rPr>
              <w:t>万元，环保投资占总投资的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3.4</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p>
          <w:p>
            <w:pPr>
              <w:pStyle w:val="21"/>
              <w:spacing w:after="0"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根据调查可知，</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验收阶段总投资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2400</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万元，环保投资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101.4</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万元，占总投资的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4.23</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pPr>
              <w:pStyle w:val="21"/>
              <w:spacing w:after="0"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环评阶段</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涉及生产能力为A、B站总销售量汽油2679t/a、柴油2319t/a、LNG2555t/a，</w:t>
            </w:r>
            <w:r>
              <w:rPr>
                <w:rFonts w:hint="default" w:ascii="Times New Roman" w:hAnsi="Times New Roman" w:eastAsia="宋体" w:cs="Times New Roman"/>
                <w:color w:val="000000" w:themeColor="text1"/>
                <w:sz w:val="24"/>
                <w:highlight w:val="none"/>
                <w14:textFill>
                  <w14:solidFill>
                    <w14:schemeClr w14:val="tx1"/>
                  </w14:solidFill>
                </w14:textFill>
              </w:rPr>
              <w:t>根据调查可知，</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验收阶段</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实际生产能力为A、B站总销售量汽油2679t/a、柴油2319t/a、LNG2555t/a</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pPr>
              <w:pStyle w:val="21"/>
              <w:spacing w:after="0"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根据调查，本项目项目规模验收阶段与环评阶段一致。</w:t>
            </w:r>
          </w:p>
          <w:p>
            <w:pPr>
              <w:pStyle w:val="21"/>
              <w:spacing w:after="0" w:line="360" w:lineRule="auto"/>
              <w:ind w:left="0" w:leftChars="0" w:firstLine="0" w:firstLineChars="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2.2</w:t>
            </w:r>
            <w:r>
              <w:rPr>
                <w:rFonts w:hint="default" w:ascii="Times New Roman" w:hAnsi="Times New Roman" w:eastAsia="宋体" w:cs="Times New Roman"/>
                <w:b/>
                <w:bCs/>
                <w:color w:val="000000" w:themeColor="text1"/>
                <w:sz w:val="24"/>
                <w:highlight w:val="none"/>
                <w14:textFill>
                  <w14:solidFill>
                    <w14:schemeClr w14:val="tx1"/>
                  </w14:solidFill>
                </w14:textFill>
              </w:rPr>
              <w:t>资金来源</w:t>
            </w:r>
          </w:p>
          <w:p>
            <w:pPr>
              <w:pStyle w:val="21"/>
              <w:spacing w:after="0" w:line="360" w:lineRule="auto"/>
              <w:ind w:firstLineChars="175"/>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项目资金来源为企业自筹。</w:t>
            </w:r>
          </w:p>
          <w:p>
            <w:pPr>
              <w:pStyle w:val="6"/>
              <w:spacing w:line="360" w:lineRule="auto"/>
              <w:ind w:firstLine="0" w:firstLineChars="0"/>
              <w:rPr>
                <w:rFonts w:hint="default" w:ascii="Times New Roman" w:hAnsi="Times New Roman" w:eastAsia="宋体" w:cs="Times New Roman"/>
                <w:b/>
                <w:bCs/>
                <w:color w:val="000000" w:themeColor="text1"/>
                <w:highlight w:val="none"/>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2.3</w:t>
            </w:r>
            <w:r>
              <w:rPr>
                <w:rFonts w:hint="default" w:ascii="Times New Roman" w:hAnsi="Times New Roman" w:eastAsia="宋体" w:cs="Times New Roman"/>
                <w:b/>
                <w:bCs/>
                <w:color w:val="000000" w:themeColor="text1"/>
                <w:highlight w:val="none"/>
                <w:lang w:eastAsia="zh-CN"/>
                <w14:textFill>
                  <w14:solidFill>
                    <w14:schemeClr w14:val="tx1"/>
                  </w14:solidFill>
                </w14:textFill>
              </w:rPr>
              <w:t>、</w:t>
            </w:r>
            <w:r>
              <w:rPr>
                <w:rFonts w:hint="default" w:ascii="Times New Roman" w:hAnsi="Times New Roman" w:eastAsia="宋体" w:cs="Times New Roman"/>
                <w:b/>
                <w:bCs/>
                <w:color w:val="000000" w:themeColor="text1"/>
                <w:highlight w:val="none"/>
                <w14:textFill>
                  <w14:solidFill>
                    <w14:schemeClr w14:val="tx1"/>
                  </w14:solidFill>
                </w14:textFill>
              </w:rPr>
              <w:t>劳动定员及工作制度</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kern w:val="2"/>
                <w:sz w:val="24"/>
                <w:szCs w:val="24"/>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单站劳动定员为5人，AB两站总劳动定员为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highlight w:val="none"/>
                <w14:textFill>
                  <w14:solidFill>
                    <w14:schemeClr w14:val="tx1"/>
                  </w14:solidFill>
                </w14:textFill>
              </w:rPr>
              <w:t>人</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zh-CN" w:eastAsia="zh-CN" w:bidi="ar-SA"/>
                <w14:textFill>
                  <w14:solidFill>
                    <w14:schemeClr w14:val="tx1"/>
                  </w14:solidFill>
                </w14:textFill>
              </w:rPr>
              <w:t>年工作天数为365天，实行三班作业制。</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根据调查，本项目工作制度与环评阶段一致</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劳动定员</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较环评阶段减少一半</w:t>
            </w:r>
            <w:r>
              <w:rPr>
                <w:rFonts w:hint="default" w:ascii="Times New Roman" w:hAnsi="Times New Roman" w:eastAsia="宋体" w:cs="Times New Roman"/>
                <w:color w:val="000000" w:themeColor="text1"/>
                <w:sz w:val="24"/>
                <w:highlight w:val="none"/>
                <w14:textFill>
                  <w14:solidFill>
                    <w14:schemeClr w14:val="tx1"/>
                  </w14:solidFill>
                </w14:textFill>
              </w:rPr>
              <w:t>。</w:t>
            </w:r>
          </w:p>
          <w:p>
            <w:pPr>
              <w:numPr>
                <w:ilvl w:val="0"/>
                <w:numId w:val="0"/>
              </w:numPr>
              <w:adjustRightInd w:val="0"/>
              <w:snapToGrid w:val="0"/>
              <w:spacing w:line="360" w:lineRule="auto"/>
              <w:jc w:val="left"/>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2.4</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建设内容</w:t>
            </w:r>
          </w:p>
          <w:p>
            <w:pPr>
              <w:pStyle w:val="21"/>
              <w:adjustRightInd w:val="0"/>
              <w:snapToGrid w:val="0"/>
              <w:spacing w:after="0" w:line="360" w:lineRule="auto"/>
              <w:ind w:firstLine="480" w:firstLineChars="200"/>
              <w:rPr>
                <w:sz w:val="24"/>
                <w:highlight w:val="none"/>
              </w:rPr>
            </w:pPr>
            <w:r>
              <w:rPr>
                <w:rFonts w:hAnsi="宋体"/>
                <w:sz w:val="24"/>
                <w:highlight w:val="none"/>
              </w:rPr>
              <w:t>本项目为高速公路服务区加油</w:t>
            </w:r>
            <w:r>
              <w:rPr>
                <w:rFonts w:hint="eastAsia" w:hAnsi="宋体"/>
                <w:sz w:val="24"/>
                <w:highlight w:val="none"/>
              </w:rPr>
              <w:t>加气</w:t>
            </w:r>
            <w:r>
              <w:rPr>
                <w:rFonts w:hAnsi="宋体"/>
                <w:sz w:val="24"/>
                <w:highlight w:val="none"/>
              </w:rPr>
              <w:t>站项目，主要建设</w:t>
            </w:r>
            <w:r>
              <w:rPr>
                <w:rFonts w:hint="eastAsia" w:hAnsi="宋体"/>
                <w:sz w:val="24"/>
                <w:highlight w:val="none"/>
              </w:rPr>
              <w:t>AB</w:t>
            </w:r>
            <w:r>
              <w:rPr>
                <w:rFonts w:hAnsi="宋体"/>
                <w:sz w:val="24"/>
                <w:highlight w:val="none"/>
              </w:rPr>
              <w:t>两座加油</w:t>
            </w:r>
            <w:r>
              <w:rPr>
                <w:rFonts w:hint="eastAsia" w:hAnsi="宋体"/>
                <w:sz w:val="24"/>
                <w:highlight w:val="none"/>
              </w:rPr>
              <w:t>加气</w:t>
            </w:r>
            <w:r>
              <w:rPr>
                <w:rFonts w:hAnsi="宋体"/>
                <w:sz w:val="24"/>
                <w:highlight w:val="none"/>
              </w:rPr>
              <w:t>站，加油</w:t>
            </w:r>
            <w:r>
              <w:rPr>
                <w:rFonts w:hint="eastAsia" w:hAnsi="宋体"/>
                <w:sz w:val="24"/>
                <w:highlight w:val="none"/>
              </w:rPr>
              <w:t>加气</w:t>
            </w:r>
            <w:r>
              <w:rPr>
                <w:rFonts w:hAnsi="宋体"/>
                <w:sz w:val="24"/>
                <w:highlight w:val="none"/>
              </w:rPr>
              <w:t>站分布在</w:t>
            </w:r>
            <w:r>
              <w:rPr>
                <w:rFonts w:hint="eastAsia" w:hAnsi="宋体"/>
                <w:sz w:val="24"/>
                <w:highlight w:val="none"/>
              </w:rPr>
              <w:t>双达</w:t>
            </w:r>
            <w:r>
              <w:rPr>
                <w:rFonts w:hAnsi="宋体"/>
                <w:sz w:val="24"/>
                <w:highlight w:val="none"/>
              </w:rPr>
              <w:t>高速</w:t>
            </w:r>
            <w:r>
              <w:rPr>
                <w:rFonts w:hint="eastAsia" w:hAnsi="宋体"/>
                <w:sz w:val="24"/>
                <w:highlight w:val="none"/>
              </w:rPr>
              <w:t>公路韩集</w:t>
            </w:r>
            <w:r>
              <w:rPr>
                <w:sz w:val="24"/>
                <w:highlight w:val="none"/>
              </w:rPr>
              <w:t>两侧服务区内</w:t>
            </w:r>
            <w:r>
              <w:rPr>
                <w:rFonts w:hint="eastAsia"/>
                <w:sz w:val="24"/>
                <w:highlight w:val="none"/>
              </w:rPr>
              <w:t>。</w:t>
            </w:r>
          </w:p>
          <w:p>
            <w:pPr>
              <w:pStyle w:val="21"/>
              <w:adjustRightInd w:val="0"/>
              <w:snapToGrid w:val="0"/>
              <w:spacing w:after="0" w:line="360" w:lineRule="auto"/>
              <w:ind w:firstLine="480" w:firstLineChars="200"/>
              <w:rPr>
                <w:sz w:val="24"/>
                <w:highlight w:val="none"/>
              </w:rPr>
            </w:pPr>
            <w:r>
              <w:rPr>
                <w:rFonts w:hint="eastAsia"/>
                <w:sz w:val="24"/>
                <w:highlight w:val="none"/>
              </w:rPr>
              <w:t>加油部分：每座</w:t>
            </w:r>
            <w:r>
              <w:rPr>
                <w:sz w:val="24"/>
                <w:highlight w:val="none"/>
              </w:rPr>
              <w:t>设有5个储油罐，其中40m</w:t>
            </w:r>
            <w:r>
              <w:rPr>
                <w:rFonts w:hint="eastAsia"/>
                <w:sz w:val="24"/>
                <w:highlight w:val="none"/>
                <w:vertAlign w:val="superscript"/>
              </w:rPr>
              <w:t>3</w:t>
            </w:r>
            <w:r>
              <w:rPr>
                <w:sz w:val="24"/>
                <w:highlight w:val="none"/>
              </w:rPr>
              <w:t>埋地柴油储罐2具、40m</w:t>
            </w:r>
            <w:r>
              <w:rPr>
                <w:rFonts w:hint="eastAsia"/>
                <w:sz w:val="24"/>
                <w:highlight w:val="none"/>
                <w:vertAlign w:val="superscript"/>
              </w:rPr>
              <w:t>3</w:t>
            </w:r>
            <w:r>
              <w:rPr>
                <w:sz w:val="24"/>
                <w:highlight w:val="none"/>
              </w:rPr>
              <w:t>埋地汽油储罐2具、30m</w:t>
            </w:r>
            <w:r>
              <w:rPr>
                <w:rFonts w:hint="eastAsia"/>
                <w:sz w:val="24"/>
                <w:highlight w:val="none"/>
                <w:vertAlign w:val="superscript"/>
              </w:rPr>
              <w:t>3</w:t>
            </w:r>
            <w:r>
              <w:rPr>
                <w:sz w:val="24"/>
                <w:highlight w:val="none"/>
              </w:rPr>
              <w:t>埋地汽油储罐1具，</w:t>
            </w:r>
            <w:r>
              <w:rPr>
                <w:kern w:val="0"/>
                <w:sz w:val="24"/>
                <w:highlight w:val="none"/>
              </w:rPr>
              <w:t>油罐均为SF双层油罐（内钢外玻璃纤维增强塑料，双层油罐自带渗漏检测立管）</w:t>
            </w:r>
            <w:r>
              <w:rPr>
                <w:rFonts w:hint="eastAsia"/>
                <w:kern w:val="0"/>
                <w:sz w:val="24"/>
                <w:highlight w:val="none"/>
              </w:rPr>
              <w:t>，4具</w:t>
            </w:r>
            <w:r>
              <w:rPr>
                <w:sz w:val="24"/>
                <w:highlight w:val="none"/>
              </w:rPr>
              <w:t>40m</w:t>
            </w:r>
            <w:r>
              <w:rPr>
                <w:rFonts w:hint="eastAsia"/>
                <w:sz w:val="24"/>
                <w:highlight w:val="none"/>
                <w:vertAlign w:val="superscript"/>
              </w:rPr>
              <w:t>3</w:t>
            </w:r>
            <w:r>
              <w:rPr>
                <w:rFonts w:hint="eastAsia"/>
                <w:sz w:val="24"/>
                <w:highlight w:val="none"/>
              </w:rPr>
              <w:t>油罐</w:t>
            </w:r>
            <w:r>
              <w:rPr>
                <w:sz w:val="24"/>
                <w:highlight w:val="none"/>
              </w:rPr>
              <w:t>分别存储9</w:t>
            </w:r>
            <w:r>
              <w:rPr>
                <w:rFonts w:hint="eastAsia"/>
                <w:sz w:val="24"/>
                <w:highlight w:val="none"/>
              </w:rPr>
              <w:t>2</w:t>
            </w:r>
            <w:r>
              <w:rPr>
                <w:sz w:val="24"/>
                <w:highlight w:val="none"/>
              </w:rPr>
              <w:t>#汽油、9</w:t>
            </w:r>
            <w:r>
              <w:rPr>
                <w:rFonts w:hint="eastAsia"/>
                <w:sz w:val="24"/>
                <w:highlight w:val="none"/>
              </w:rPr>
              <w:t>5</w:t>
            </w:r>
            <w:r>
              <w:rPr>
                <w:sz w:val="24"/>
                <w:highlight w:val="none"/>
              </w:rPr>
              <w:t>#汽油、0#柴油和-10#柴油，</w:t>
            </w:r>
            <w:r>
              <w:rPr>
                <w:rFonts w:hint="eastAsia"/>
                <w:sz w:val="24"/>
                <w:highlight w:val="none"/>
              </w:rPr>
              <w:t>1具3</w:t>
            </w:r>
            <w:r>
              <w:rPr>
                <w:sz w:val="24"/>
                <w:highlight w:val="none"/>
              </w:rPr>
              <w:t>0m</w:t>
            </w:r>
            <w:r>
              <w:rPr>
                <w:sz w:val="24"/>
                <w:highlight w:val="none"/>
                <w:vertAlign w:val="superscript"/>
              </w:rPr>
              <w:t>3</w:t>
            </w:r>
            <w:r>
              <w:rPr>
                <w:sz w:val="24"/>
                <w:highlight w:val="none"/>
              </w:rPr>
              <w:t>存储9</w:t>
            </w:r>
            <w:r>
              <w:rPr>
                <w:rFonts w:hint="eastAsia"/>
                <w:sz w:val="24"/>
                <w:highlight w:val="none"/>
              </w:rPr>
              <w:t>8</w:t>
            </w:r>
            <w:r>
              <w:rPr>
                <w:sz w:val="24"/>
                <w:highlight w:val="none"/>
              </w:rPr>
              <w:t>#汽油</w:t>
            </w:r>
            <w:r>
              <w:rPr>
                <w:rFonts w:hint="eastAsia"/>
                <w:sz w:val="24"/>
                <w:highlight w:val="none"/>
              </w:rPr>
              <w:t>，</w:t>
            </w:r>
            <w:r>
              <w:rPr>
                <w:rFonts w:hint="eastAsia"/>
                <w:kern w:val="0"/>
                <w:sz w:val="24"/>
                <w:highlight w:val="none"/>
              </w:rPr>
              <w:t>设3台四枪四油品潜油泵型汽油加油机（汽油加油枪带油气回收型），1台双枪双油品潜油泵型柴油加油站；J03柴油加油岛上设置柴油尾气处理液储存加注一体机1台（3m</w:t>
            </w:r>
            <w:r>
              <w:rPr>
                <w:rFonts w:hint="eastAsia"/>
                <w:kern w:val="0"/>
                <w:sz w:val="24"/>
                <w:highlight w:val="none"/>
                <w:vertAlign w:val="superscript"/>
              </w:rPr>
              <w:t>3</w:t>
            </w:r>
            <w:r>
              <w:rPr>
                <w:rFonts w:hint="eastAsia"/>
                <w:kern w:val="0"/>
                <w:sz w:val="24"/>
                <w:highlight w:val="none"/>
              </w:rPr>
              <w:t>），站内设卸油油气回收系统，加油油气回收（分散式）系统。</w:t>
            </w:r>
          </w:p>
          <w:p>
            <w:pPr>
              <w:pStyle w:val="11"/>
              <w:adjustRightInd w:val="0"/>
              <w:snapToGrid w:val="0"/>
              <w:spacing w:after="0" w:line="360" w:lineRule="auto"/>
              <w:ind w:firstLine="480" w:firstLineChars="200"/>
              <w:rPr>
                <w:sz w:val="24"/>
                <w:highlight w:val="none"/>
              </w:rPr>
            </w:pPr>
            <w:r>
              <w:rPr>
                <w:rFonts w:hint="eastAsia"/>
                <w:sz w:val="24"/>
                <w:highlight w:val="none"/>
              </w:rPr>
              <w:t>加气部分：每座</w:t>
            </w:r>
            <w:r>
              <w:rPr>
                <w:sz w:val="24"/>
                <w:highlight w:val="none"/>
              </w:rPr>
              <w:t>设箱式LNG橇装设备1套（含60m</w:t>
            </w:r>
            <w:r>
              <w:rPr>
                <w:sz w:val="24"/>
                <w:highlight w:val="none"/>
                <w:vertAlign w:val="superscript"/>
              </w:rPr>
              <w:t>3</w:t>
            </w:r>
            <w:r>
              <w:rPr>
                <w:sz w:val="24"/>
                <w:highlight w:val="none"/>
              </w:rPr>
              <w:t>低温卧式储罐1座，储罐/卸车增压器1台，EAG加热器1台，LNG潜液泵</w:t>
            </w:r>
            <w:r>
              <w:rPr>
                <w:rFonts w:hint="eastAsia"/>
                <w:sz w:val="24"/>
                <w:highlight w:val="none"/>
              </w:rPr>
              <w:t>2</w:t>
            </w:r>
            <w:r>
              <w:rPr>
                <w:sz w:val="24"/>
                <w:highlight w:val="none"/>
              </w:rPr>
              <w:t>台）</w:t>
            </w:r>
            <w:r>
              <w:rPr>
                <w:rFonts w:hint="eastAsia"/>
                <w:sz w:val="24"/>
                <w:highlight w:val="none"/>
              </w:rPr>
              <w:t>，</w:t>
            </w:r>
            <w:r>
              <w:rPr>
                <w:sz w:val="24"/>
                <w:highlight w:val="none"/>
              </w:rPr>
              <w:t>LNG单枪加气机2台，BOG回收橇1套。</w:t>
            </w:r>
          </w:p>
          <w:p>
            <w:pPr>
              <w:adjustRightInd w:val="0"/>
              <w:snapToGrid w:val="0"/>
              <w:spacing w:line="360" w:lineRule="auto"/>
              <w:ind w:firstLine="480" w:firstLineChars="200"/>
              <w:textAlignment w:val="center"/>
              <w:rPr>
                <w:kern w:val="0"/>
                <w:sz w:val="24"/>
                <w:highlight w:val="none"/>
              </w:rPr>
            </w:pPr>
            <w:r>
              <w:rPr>
                <w:rFonts w:hint="eastAsia"/>
                <w:sz w:val="24"/>
                <w:highlight w:val="none"/>
              </w:rPr>
              <w:t>每座加油加气站</w:t>
            </w:r>
            <w:r>
              <w:rPr>
                <w:sz w:val="24"/>
                <w:highlight w:val="none"/>
              </w:rPr>
              <w:t>占地面积占地</w:t>
            </w:r>
            <w:r>
              <w:rPr>
                <w:rFonts w:hint="eastAsia"/>
                <w:sz w:val="24"/>
                <w:highlight w:val="none"/>
              </w:rPr>
              <w:t>5068</w:t>
            </w:r>
            <w:r>
              <w:rPr>
                <w:sz w:val="24"/>
                <w:highlight w:val="none"/>
              </w:rPr>
              <w:t>m</w:t>
            </w:r>
            <w:r>
              <w:rPr>
                <w:sz w:val="24"/>
                <w:highlight w:val="none"/>
                <w:vertAlign w:val="superscript"/>
              </w:rPr>
              <w:t>2</w:t>
            </w:r>
            <w:r>
              <w:rPr>
                <w:rFonts w:hint="eastAsia"/>
                <w:sz w:val="24"/>
                <w:highlight w:val="none"/>
              </w:rPr>
              <w:t>，每座加油加气站</w:t>
            </w:r>
            <w:r>
              <w:rPr>
                <w:sz w:val="24"/>
                <w:highlight w:val="none"/>
              </w:rPr>
              <w:t>新建</w:t>
            </w:r>
            <w:r>
              <w:rPr>
                <w:rFonts w:hint="eastAsia"/>
                <w:sz w:val="24"/>
                <w:highlight w:val="none"/>
              </w:rPr>
              <w:t>二</w:t>
            </w:r>
            <w:r>
              <w:rPr>
                <w:sz w:val="24"/>
                <w:highlight w:val="none"/>
              </w:rPr>
              <w:t>层站房一座，建筑面积为</w:t>
            </w:r>
            <w:r>
              <w:rPr>
                <w:rFonts w:hint="eastAsia"/>
                <w:sz w:val="24"/>
                <w:highlight w:val="none"/>
              </w:rPr>
              <w:t>458.28</w:t>
            </w:r>
            <w:r>
              <w:rPr>
                <w:sz w:val="24"/>
                <w:highlight w:val="none"/>
              </w:rPr>
              <w:t>m</w:t>
            </w:r>
            <w:r>
              <w:rPr>
                <w:sz w:val="24"/>
                <w:highlight w:val="none"/>
                <w:vertAlign w:val="superscript"/>
              </w:rPr>
              <w:t>2</w:t>
            </w:r>
            <w:r>
              <w:rPr>
                <w:sz w:val="24"/>
                <w:highlight w:val="none"/>
              </w:rPr>
              <w:t>，建筑结构为</w:t>
            </w:r>
            <w:r>
              <w:rPr>
                <w:rFonts w:hint="eastAsia"/>
                <w:sz w:val="24"/>
                <w:highlight w:val="none"/>
              </w:rPr>
              <w:t>框架</w:t>
            </w:r>
            <w:r>
              <w:rPr>
                <w:sz w:val="24"/>
                <w:highlight w:val="none"/>
              </w:rPr>
              <w:t>结构</w:t>
            </w:r>
            <w:r>
              <w:rPr>
                <w:rFonts w:hint="eastAsia"/>
                <w:sz w:val="24"/>
                <w:highlight w:val="none"/>
              </w:rPr>
              <w:t>；每座加油加气站</w:t>
            </w:r>
            <w:r>
              <w:rPr>
                <w:sz w:val="24"/>
                <w:highlight w:val="none"/>
              </w:rPr>
              <w:t>新建螺栓球网架结构罩棚</w:t>
            </w:r>
            <w:r>
              <w:rPr>
                <w:rFonts w:hint="eastAsia"/>
                <w:sz w:val="24"/>
                <w:highlight w:val="none"/>
              </w:rPr>
              <w:t>1</w:t>
            </w:r>
            <w:r>
              <w:rPr>
                <w:sz w:val="24"/>
                <w:highlight w:val="none"/>
              </w:rPr>
              <w:t>座，</w:t>
            </w:r>
            <w:r>
              <w:rPr>
                <w:rFonts w:hint="eastAsia"/>
                <w:sz w:val="24"/>
                <w:highlight w:val="none"/>
              </w:rPr>
              <w:t>建筑面积616m</w:t>
            </w:r>
            <w:r>
              <w:rPr>
                <w:rFonts w:hint="eastAsia"/>
                <w:sz w:val="24"/>
                <w:highlight w:val="none"/>
                <w:vertAlign w:val="superscript"/>
              </w:rPr>
              <w:t>2</w:t>
            </w:r>
            <w:r>
              <w:rPr>
                <w:sz w:val="24"/>
                <w:highlight w:val="none"/>
              </w:rPr>
              <w:t>，</w:t>
            </w:r>
            <w:r>
              <w:rPr>
                <w:rFonts w:hint="eastAsia"/>
                <w:sz w:val="24"/>
                <w:highlight w:val="none"/>
              </w:rPr>
              <w:t>混凝土</w:t>
            </w:r>
            <w:r>
              <w:rPr>
                <w:sz w:val="24"/>
                <w:highlight w:val="none"/>
              </w:rPr>
              <w:t>立柱，净高6.0m。罩棚耐火等级为二级，承重柱的耐火极限为2.5小时</w:t>
            </w:r>
            <w:r>
              <w:rPr>
                <w:rFonts w:hint="eastAsia"/>
                <w:sz w:val="24"/>
                <w:highlight w:val="none"/>
              </w:rPr>
              <w:t>。</w:t>
            </w:r>
          </w:p>
          <w:p>
            <w:pPr>
              <w:pStyle w:val="21"/>
              <w:spacing w:after="0" w:line="360" w:lineRule="auto"/>
              <w:ind w:firstLineChars="175"/>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主要工程建设内容及实际建设情况见表2-1</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pPr>
              <w:snapToGrid w:val="0"/>
              <w:spacing w:line="360" w:lineRule="auto"/>
              <w:ind w:firstLine="482" w:firstLineChars="200"/>
              <w:contextualSpacing/>
              <w:jc w:val="center"/>
              <w:rPr>
                <w:rFonts w:hint="default" w:ascii="Times New Roman" w:hAnsi="Times New Roman" w:eastAsia="宋体" w:cs="Times New Roman"/>
                <w:b/>
                <w:bCs/>
                <w:color w:val="000000" w:themeColor="text1"/>
                <w:sz w:val="24"/>
                <w:szCs w:val="24"/>
                <w:highlight w:val="none"/>
                <w14:textFill>
                  <w14:solidFill>
                    <w14:schemeClr w14:val="tx1"/>
                  </w14:solidFill>
                </w14:textFill>
              </w:rPr>
            </w:pPr>
          </w:p>
          <w:p>
            <w:pPr>
              <w:snapToGrid w:val="0"/>
              <w:spacing w:line="360" w:lineRule="auto"/>
              <w:ind w:firstLine="482" w:firstLineChars="200"/>
              <w:contextualSpacing/>
              <w:jc w:val="cente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表2-1           主要</w:t>
            </w:r>
            <w:r>
              <w:rPr>
                <w:rFonts w:hint="default" w:ascii="Times New Roman" w:hAnsi="Times New Roman" w:eastAsia="宋体" w:cs="Times New Roman"/>
                <w:b/>
                <w:bCs/>
                <w:color w:val="000000" w:themeColor="text1"/>
                <w:kern w:val="24"/>
                <w:sz w:val="24"/>
                <w:szCs w:val="24"/>
                <w:highlight w:val="none"/>
                <w14:textFill>
                  <w14:solidFill>
                    <w14:schemeClr w14:val="tx1"/>
                  </w14:solidFill>
                </w14:textFill>
              </w:rPr>
              <w:t>工程建设内容对照</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表</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color w:val="000000" w:themeColor="text1"/>
                <w:sz w:val="24"/>
                <w:highlight w:val="none"/>
                <w14:textFill>
                  <w14:solidFill>
                    <w14:schemeClr w14:val="tx1"/>
                  </w14:solidFill>
                </w14:textFill>
              </w:rPr>
              <w:t>A站</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p>
          <w:tbl>
            <w:tblPr>
              <w:tblStyle w:val="22"/>
              <w:tblW w:w="8360" w:type="dxa"/>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870"/>
              <w:gridCol w:w="2767"/>
              <w:gridCol w:w="3105"/>
              <w:gridCol w:w="1125"/>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93"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类别</w:t>
                  </w: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建设名称</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环评文件建设内容</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实际工程建设内容</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备注</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493" w:type="dxa"/>
                  <w:vMerge w:val="restart"/>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主体工程</w:t>
                  </w: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地下汽油罐</w:t>
                  </w:r>
                </w:p>
              </w:tc>
              <w:tc>
                <w:tcPr>
                  <w:tcW w:w="2767"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3座，其中2座为40m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，分别存储92#和95#汽油；1座为30m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，存储98#汽油</w:t>
                  </w:r>
                </w:p>
              </w:tc>
              <w:tc>
                <w:tcPr>
                  <w:tcW w:w="3105"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3座，其中2座为40m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，分别存储92#和95#汽油；1座为30m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，存储98#汽油</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493" w:type="dxa"/>
                  <w:vMerge w:val="continue"/>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地下柴油罐</w:t>
                  </w:r>
                </w:p>
              </w:tc>
              <w:tc>
                <w:tcPr>
                  <w:tcW w:w="2767"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val="0"/>
                      <w:sz w:val="21"/>
                      <w:szCs w:val="21"/>
                      <w:highlight w:val="none"/>
                    </w:rPr>
                    <w:t>2座，体积均为40m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，分别存储0#和-10#柴油</w:t>
                  </w:r>
                </w:p>
              </w:tc>
              <w:tc>
                <w:tcPr>
                  <w:tcW w:w="3105"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2座，体积均为40m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sz w:val="21"/>
                      <w:szCs w:val="21"/>
                      <w:highlight w:val="none"/>
                    </w:rPr>
                    <w:t>，分别存储0#和-10#柴油</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493" w:type="dxa"/>
                  <w:vMerge w:val="continue"/>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加油罩棚</w:t>
                  </w:r>
                </w:p>
              </w:tc>
              <w:tc>
                <w:tcPr>
                  <w:tcW w:w="2767"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highlight w:val="none"/>
                    </w:rPr>
                    <w:t>1座60m</w:t>
                  </w:r>
                  <w:r>
                    <w:rPr>
                      <w:rFonts w:hint="default" w:ascii="Times New Roman" w:hAnsi="Times New Roman" w:eastAsia="宋体" w:cs="Times New Roman"/>
                      <w:b w:val="0"/>
                      <w:bCs w:val="0"/>
                      <w:kern w:val="0"/>
                      <w:sz w:val="21"/>
                      <w:szCs w:val="21"/>
                      <w:highlight w:val="none"/>
                      <w:vertAlign w:val="superscript"/>
                    </w:rPr>
                    <w:t>3</w:t>
                  </w:r>
                  <w:r>
                    <w:rPr>
                      <w:rFonts w:hint="default" w:ascii="Times New Roman" w:hAnsi="Times New Roman" w:eastAsia="宋体" w:cs="Times New Roman"/>
                      <w:b w:val="0"/>
                      <w:bCs w:val="0"/>
                      <w:kern w:val="0"/>
                      <w:sz w:val="21"/>
                      <w:szCs w:val="21"/>
                      <w:highlight w:val="none"/>
                    </w:rPr>
                    <w:t>箱式LNG撬装设备低温卧式储罐，建筑面积85.7m</w:t>
                  </w:r>
                  <w:r>
                    <w:rPr>
                      <w:rFonts w:hint="default" w:ascii="Times New Roman" w:hAnsi="Times New Roman" w:eastAsia="宋体" w:cs="Times New Roman"/>
                      <w:b w:val="0"/>
                      <w:bCs w:val="0"/>
                      <w:kern w:val="0"/>
                      <w:sz w:val="21"/>
                      <w:szCs w:val="21"/>
                      <w:highlight w:val="none"/>
                      <w:vertAlign w:val="superscript"/>
                    </w:rPr>
                    <w:t>2</w:t>
                  </w:r>
                </w:p>
              </w:tc>
              <w:tc>
                <w:tcPr>
                  <w:tcW w:w="3105"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highlight w:val="none"/>
                    </w:rPr>
                    <w:t>1座60m</w:t>
                  </w:r>
                  <w:r>
                    <w:rPr>
                      <w:rFonts w:hint="default" w:ascii="Times New Roman" w:hAnsi="Times New Roman" w:eastAsia="宋体" w:cs="Times New Roman"/>
                      <w:b w:val="0"/>
                      <w:bCs w:val="0"/>
                      <w:kern w:val="0"/>
                      <w:sz w:val="21"/>
                      <w:szCs w:val="21"/>
                      <w:highlight w:val="none"/>
                      <w:vertAlign w:val="superscript"/>
                    </w:rPr>
                    <w:t>3</w:t>
                  </w:r>
                  <w:r>
                    <w:rPr>
                      <w:rFonts w:hint="default" w:ascii="Times New Roman" w:hAnsi="Times New Roman" w:eastAsia="宋体" w:cs="Times New Roman"/>
                      <w:b w:val="0"/>
                      <w:bCs w:val="0"/>
                      <w:kern w:val="0"/>
                      <w:sz w:val="21"/>
                      <w:szCs w:val="21"/>
                      <w:highlight w:val="none"/>
                    </w:rPr>
                    <w:t>箱式LNG撬装设备低温卧式储罐，建筑面积85.7m</w:t>
                  </w:r>
                  <w:r>
                    <w:rPr>
                      <w:rFonts w:hint="default" w:ascii="Times New Roman" w:hAnsi="Times New Roman" w:eastAsia="宋体" w:cs="Times New Roman"/>
                      <w:b w:val="0"/>
                      <w:bCs w:val="0"/>
                      <w:kern w:val="0"/>
                      <w:sz w:val="21"/>
                      <w:szCs w:val="21"/>
                      <w:highlight w:val="none"/>
                      <w:vertAlign w:val="superscript"/>
                    </w:rPr>
                    <w:t>2</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493" w:type="dxa"/>
                  <w:vMerge w:val="continue"/>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加油岛</w:t>
                  </w:r>
                </w:p>
              </w:tc>
              <w:tc>
                <w:tcPr>
                  <w:tcW w:w="2767"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kern w:val="0"/>
                    </w:rPr>
                    <w:t>新建</w:t>
                  </w:r>
                  <w:r>
                    <w:rPr>
                      <w:rFonts w:hint="eastAsia"/>
                      <w:kern w:val="0"/>
                    </w:rPr>
                    <w:t>单柱</w:t>
                  </w:r>
                  <w:r>
                    <w:rPr>
                      <w:kern w:val="0"/>
                    </w:rPr>
                    <w:t>岛</w:t>
                  </w:r>
                  <w:r>
                    <w:rPr>
                      <w:rFonts w:hint="eastAsia"/>
                      <w:kern w:val="0"/>
                    </w:rPr>
                    <w:t>4个</w:t>
                  </w:r>
                  <w:r>
                    <w:rPr>
                      <w:kern w:val="0"/>
                    </w:rPr>
                    <w:t>，</w:t>
                  </w:r>
                  <w:r>
                    <w:rPr>
                      <w:rFonts w:hint="eastAsia"/>
                    </w:rPr>
                    <w:t>设3台四枪四油品潜油泵型汽油加油机（汽油枪油气回收型），1台双枪双油品潜油泵型柴油加油机；</w:t>
                  </w:r>
                  <w:r>
                    <w:rPr>
                      <w:szCs w:val="21"/>
                    </w:rPr>
                    <w:t>LNG</w:t>
                  </w:r>
                  <w:r>
                    <w:rPr>
                      <w:rFonts w:hint="eastAsia"/>
                      <w:szCs w:val="21"/>
                    </w:rPr>
                    <w:t>单枪加气机</w:t>
                  </w:r>
                  <w:r>
                    <w:rPr>
                      <w:szCs w:val="21"/>
                    </w:rPr>
                    <w:t>2</w:t>
                  </w:r>
                  <w:r>
                    <w:rPr>
                      <w:rFonts w:hint="eastAsia"/>
                      <w:szCs w:val="21"/>
                    </w:rPr>
                    <w:t>台</w:t>
                  </w:r>
                  <w:r>
                    <w:rPr>
                      <w:rFonts w:hint="eastAsia"/>
                    </w:rPr>
                    <w:t>；J03柴油加油岛上设置柴油尾气处理液储存加注一体机1台</w:t>
                  </w:r>
                </w:p>
              </w:tc>
              <w:tc>
                <w:tcPr>
                  <w:tcW w:w="3105" w:type="dxa"/>
                  <w:tcBorders>
                    <w:tl2br w:val="nil"/>
                    <w:tr2bl w:val="nil"/>
                  </w:tcBorders>
                  <w:vAlign w:val="center"/>
                </w:tcPr>
                <w:p>
                  <w:pPr>
                    <w:adjustRightInd w:val="0"/>
                    <w:snapToGrid w:val="0"/>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新建单柱岛4个，设3台四枪四油品潜油泵型汽油加油机（汽油枪油气回收型），1台双枪双油品潜油泵型柴油加油机；LNG单枪加气机2台；</w:t>
                  </w:r>
                  <w:r>
                    <w:rPr>
                      <w:rFonts w:hint="eastAsia"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桶装尿素代替J03柴油加油岛上设置柴油尾气处理液储存加注一体机1台</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未设置柴油尾气处理液储存加注一体机，桶装尿素代替</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493" w:type="dxa"/>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辅助工程</w:t>
                  </w: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站房</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新建二层站房一座，建筑面积为458.28m</w:t>
                  </w:r>
                  <w:r>
                    <w:rPr>
                      <w:rFonts w:hint="default" w:ascii="Times New Roman" w:hAnsi="Times New Roman" w:eastAsia="宋体" w:cs="Times New Roman"/>
                      <w:b w:val="0"/>
                      <w:bCs w:val="0"/>
                      <w:sz w:val="21"/>
                      <w:szCs w:val="21"/>
                      <w:highlight w:val="none"/>
                      <w:vertAlign w:val="superscript"/>
                    </w:rPr>
                    <w:t>2</w:t>
                  </w:r>
                  <w:r>
                    <w:rPr>
                      <w:rFonts w:hint="default" w:ascii="Times New Roman" w:hAnsi="Times New Roman" w:eastAsia="宋体" w:cs="Times New Roman"/>
                      <w:b w:val="0"/>
                      <w:bCs w:val="0"/>
                      <w:sz w:val="21"/>
                      <w:szCs w:val="21"/>
                      <w:highlight w:val="none"/>
                    </w:rPr>
                    <w:t>，</w:t>
                  </w:r>
                  <w:r>
                    <w:rPr>
                      <w:rFonts w:hint="default" w:ascii="Times New Roman" w:hAnsi="Times New Roman" w:eastAsia="宋体" w:cs="Times New Roman"/>
                      <w:b w:val="0"/>
                      <w:bCs w:val="0"/>
                      <w:kern w:val="0"/>
                      <w:sz w:val="21"/>
                      <w:szCs w:val="21"/>
                      <w:highlight w:val="none"/>
                    </w:rPr>
                    <w:t>站房建筑总高度为6.85m，一层层高为3.7m，二层层高为3m，</w:t>
                  </w:r>
                  <w:r>
                    <w:rPr>
                      <w:rFonts w:hint="default" w:ascii="Times New Roman" w:hAnsi="Times New Roman" w:eastAsia="宋体" w:cs="Times New Roman"/>
                      <w:b w:val="0"/>
                      <w:bCs w:val="0"/>
                      <w:sz w:val="21"/>
                      <w:szCs w:val="21"/>
                      <w:highlight w:val="none"/>
                    </w:rPr>
                    <w:t>建筑结构为框架结构，主要设综合办公室、便利店、储藏间、配电室、发电间、休息室等</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新建二层站房一座，建筑面积为458.28m</w:t>
                  </w:r>
                  <w:r>
                    <w:rPr>
                      <w:rFonts w:hint="default" w:ascii="Times New Roman" w:hAnsi="Times New Roman" w:eastAsia="宋体" w:cs="Times New Roman"/>
                      <w:b w:val="0"/>
                      <w:bCs w:val="0"/>
                      <w:sz w:val="21"/>
                      <w:szCs w:val="21"/>
                      <w:highlight w:val="none"/>
                      <w:vertAlign w:val="superscript"/>
                    </w:rPr>
                    <w:t>2</w:t>
                  </w:r>
                  <w:r>
                    <w:rPr>
                      <w:rFonts w:hint="default" w:ascii="Times New Roman" w:hAnsi="Times New Roman" w:eastAsia="宋体" w:cs="Times New Roman"/>
                      <w:b w:val="0"/>
                      <w:bCs w:val="0"/>
                      <w:sz w:val="21"/>
                      <w:szCs w:val="21"/>
                      <w:highlight w:val="none"/>
                    </w:rPr>
                    <w:t>，</w:t>
                  </w:r>
                  <w:r>
                    <w:rPr>
                      <w:rFonts w:hint="default" w:ascii="Times New Roman" w:hAnsi="Times New Roman" w:eastAsia="宋体" w:cs="Times New Roman"/>
                      <w:b w:val="0"/>
                      <w:bCs w:val="0"/>
                      <w:kern w:val="0"/>
                      <w:sz w:val="21"/>
                      <w:szCs w:val="21"/>
                      <w:highlight w:val="none"/>
                    </w:rPr>
                    <w:t>站房建筑总高度为6.85m，一层层高为3.7m，二层层高为3m，</w:t>
                  </w:r>
                  <w:r>
                    <w:rPr>
                      <w:rFonts w:hint="default" w:ascii="Times New Roman" w:hAnsi="Times New Roman" w:eastAsia="宋体" w:cs="Times New Roman"/>
                      <w:b w:val="0"/>
                      <w:bCs w:val="0"/>
                      <w:sz w:val="21"/>
                      <w:szCs w:val="21"/>
                      <w:highlight w:val="none"/>
                    </w:rPr>
                    <w:t>建筑结构为框架结构，主要设综合办公室、便利店、储藏间、配电室、发电间、休息室等</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93" w:type="dxa"/>
                  <w:vMerge w:val="restart"/>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公用工程</w:t>
                  </w: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给水</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vertAlign w:val="baseline"/>
                      <w:lang w:val="en-US"/>
                      <w14:textFill>
                        <w14:solidFill>
                          <w14:schemeClr w14:val="tx1"/>
                        </w14:solidFill>
                      </w14:textFill>
                    </w:rPr>
                  </w:pPr>
                  <w:r>
                    <w:rPr>
                      <w:rFonts w:hint="default" w:ascii="Times New Roman" w:hAnsi="Times New Roman" w:eastAsia="宋体" w:cs="Times New Roman"/>
                      <w:b w:val="0"/>
                      <w:bCs w:val="0"/>
                      <w:snapToGrid w:val="0"/>
                      <w:color w:val="000000" w:themeColor="text1"/>
                      <w:sz w:val="21"/>
                      <w:szCs w:val="21"/>
                      <w:highlight w:val="none"/>
                      <w14:textFill>
                        <w14:solidFill>
                          <w14:schemeClr w14:val="tx1"/>
                        </w14:solidFill>
                      </w14:textFill>
                    </w:rPr>
                    <w:t>用水由服务区供水管网提供</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snapToGrid w:val="0"/>
                      <w:sz w:val="21"/>
                      <w:szCs w:val="21"/>
                      <w:highlight w:val="none"/>
                    </w:rPr>
                    <w:t>用水由服务区供水管网提供</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493" w:type="dxa"/>
                  <w:vMerge w:val="continue"/>
                  <w:tcBorders>
                    <w:tl2br w:val="nil"/>
                    <w:tr2bl w:val="nil"/>
                  </w:tcBorders>
                  <w:vAlign w:val="center"/>
                </w:tcPr>
                <w:p>
                  <w:pPr>
                    <w:wordWrap w:val="0"/>
                    <w:topLinePunct/>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排水</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highlight w:val="none"/>
                    </w:rPr>
                    <w:t>排水采用污废合流排水方式，污废水排入玻璃钢化粪池(容积10</w:t>
                  </w:r>
                  <w:r>
                    <w:rPr>
                      <w:rFonts w:hint="default" w:ascii="Times New Roman" w:hAnsi="Times New Roman" w:eastAsia="宋体" w:cs="Times New Roman"/>
                      <w:b w:val="0"/>
                      <w:bCs w:val="0"/>
                      <w:sz w:val="21"/>
                      <w:szCs w:val="21"/>
                      <w:highlight w:val="none"/>
                    </w:rPr>
                    <w:t>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kern w:val="0"/>
                      <w:sz w:val="21"/>
                      <w:szCs w:val="21"/>
                      <w:highlight w:val="none"/>
                    </w:rPr>
                    <w:t>)，经处理后排至服务区排水管网</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highlight w:val="none"/>
                    </w:rPr>
                    <w:t>排水采用污废合流排水方式，污废水排入玻璃钢化粪池(容积10</w:t>
                  </w:r>
                  <w:r>
                    <w:rPr>
                      <w:rFonts w:hint="default" w:ascii="Times New Roman" w:hAnsi="Times New Roman" w:eastAsia="宋体" w:cs="Times New Roman"/>
                      <w:b w:val="0"/>
                      <w:bCs w:val="0"/>
                      <w:sz w:val="21"/>
                      <w:szCs w:val="21"/>
                      <w:highlight w:val="none"/>
                    </w:rPr>
                    <w:t>m</w:t>
                  </w:r>
                  <w:r>
                    <w:rPr>
                      <w:rFonts w:hint="default" w:ascii="Times New Roman" w:hAnsi="Times New Roman" w:eastAsia="宋体" w:cs="Times New Roman"/>
                      <w:b w:val="0"/>
                      <w:bCs w:val="0"/>
                      <w:sz w:val="21"/>
                      <w:szCs w:val="21"/>
                      <w:highlight w:val="none"/>
                      <w:vertAlign w:val="superscript"/>
                    </w:rPr>
                    <w:t>3</w:t>
                  </w:r>
                  <w:r>
                    <w:rPr>
                      <w:rFonts w:hint="default" w:ascii="Times New Roman" w:hAnsi="Times New Roman" w:eastAsia="宋体" w:cs="Times New Roman"/>
                      <w:b w:val="0"/>
                      <w:bCs w:val="0"/>
                      <w:kern w:val="0"/>
                      <w:sz w:val="21"/>
                      <w:szCs w:val="21"/>
                      <w:highlight w:val="none"/>
                    </w:rPr>
                    <w:t>)，经处理后排至服务区排水管网</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493" w:type="dxa"/>
                  <w:vMerge w:val="continue"/>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供暖</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采用空调采暖</w:t>
                  </w:r>
                </w:p>
              </w:tc>
              <w:tc>
                <w:tcPr>
                  <w:tcW w:w="3105" w:type="dxa"/>
                  <w:tcBorders>
                    <w:tl2br w:val="nil"/>
                    <w:tr2bl w:val="nil"/>
                  </w:tcBorders>
                  <w:vAlign w:val="center"/>
                </w:tcPr>
                <w:p>
                  <w:pPr>
                    <w:pStyle w:val="19"/>
                    <w:keepNext w:val="0"/>
                    <w:keepLines w:val="0"/>
                    <w:widowControl/>
                    <w:suppressLineNumbers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采用空调采暖</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493" w:type="dxa"/>
                  <w:vMerge w:val="continue"/>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供电系统</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kern w:val="0"/>
                      <w:sz w:val="21"/>
                      <w:szCs w:val="21"/>
                      <w:highlight w:val="none"/>
                    </w:rPr>
                    <w:t>电源引自服务区，站房内设配电间，配电间内设1台XL-21型配电柜、3台照明配电箱为站内动力设备及照明插座配电</w:t>
                  </w:r>
                </w:p>
              </w:tc>
              <w:tc>
                <w:tcPr>
                  <w:tcW w:w="3105" w:type="dxa"/>
                  <w:tcBorders>
                    <w:tl2br w:val="nil"/>
                    <w:tr2bl w:val="nil"/>
                  </w:tcBorders>
                  <w:vAlign w:val="center"/>
                </w:tcPr>
                <w:p>
                  <w:pPr>
                    <w:pStyle w:val="19"/>
                    <w:keepNext w:val="0"/>
                    <w:keepLines w:val="0"/>
                    <w:widowControl/>
                    <w:suppressLineNumbers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电源引自服务区，站房内设配电间，配电间内设1台XL-21型配电柜、3台照明配电箱为站内动力设备及照明插座配电</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493" w:type="dxa"/>
                  <w:vMerge w:val="continue"/>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消防系统</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sz w:val="21"/>
                      <w:szCs w:val="21"/>
                      <w:highlight w:val="none"/>
                    </w:rPr>
                    <w:t>室内外消火栓系统、配备干粉灭火器、灭火毯、消防沙箱等若干</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室内外消火栓系统、配备干粉灭火器、灭火毯、消防沙箱等若干</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93" w:type="dxa"/>
                  <w:vMerge w:val="restart"/>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环保工程</w:t>
                  </w: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废气</w:t>
                  </w:r>
                </w:p>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处理</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油气回收系统</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油品加油及卸油油气回收系统</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493" w:type="dxa"/>
                  <w:vMerge w:val="continue"/>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废水</w:t>
                  </w:r>
                </w:p>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处理</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化粪池处理后最后排入污水管网</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化粪池处理后最后排入污水管网</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一致</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dxa"/>
                  <w:vMerge w:val="continue"/>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87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固废</w:t>
                  </w:r>
                </w:p>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处理</w:t>
                  </w:r>
                </w:p>
              </w:tc>
              <w:tc>
                <w:tcPr>
                  <w:tcW w:w="276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垃圾收集桶集中收集，环卫部门定期清运，委托有油罐清理资质的单位负责及时清运处理</w:t>
                  </w:r>
                </w:p>
              </w:tc>
              <w:tc>
                <w:tcPr>
                  <w:tcW w:w="310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垃圾收集桶集中收集，环卫部门定期清运，委托有油罐清理资质的单位负责及时清运处理</w:t>
                  </w:r>
                </w:p>
              </w:tc>
              <w:tc>
                <w:tcPr>
                  <w:tcW w:w="112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一致</w:t>
                  </w:r>
                </w:p>
              </w:tc>
            </w:tr>
          </w:tbl>
          <w:p>
            <w:pPr>
              <w:spacing w:line="360" w:lineRule="auto"/>
              <w:ind w:firstLine="482" w:firstLineChars="200"/>
              <w:jc w:val="cente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14:textFill>
                  <w14:solidFill>
                    <w14:schemeClr w14:val="tx1"/>
                  </w14:solidFill>
                </w14:textFill>
              </w:rPr>
              <w:t>表2-2         主要</w:t>
            </w: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经济技术指标表（A站）</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38"/>
              <w:gridCol w:w="1341"/>
              <w:gridCol w:w="810"/>
              <w:gridCol w:w="1022"/>
              <w:gridCol w:w="1291"/>
              <w:gridCol w:w="1191"/>
              <w:gridCol w:w="1340"/>
              <w:gridCol w:w="134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tblHeader/>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指标名称</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环评阶段建筑面积</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环评阶段数量</w:t>
                  </w:r>
                  <w:r>
                    <w:rPr>
                      <w:rFonts w:hint="default" w:ascii="Times New Roman" w:hAnsi="Times New Roman" w:eastAsia="宋体" w:cs="Times New Roman"/>
                      <w:b w:val="0"/>
                      <w:bCs w:val="0"/>
                      <w:sz w:val="21"/>
                      <w:szCs w:val="21"/>
                    </w:rPr>
                    <w:t>数量</w:t>
                  </w:r>
                </w:p>
              </w:tc>
              <w:tc>
                <w:tcPr>
                  <w:tcW w:w="678" w:type="pct"/>
                  <w:vAlign w:val="center"/>
                </w:tcPr>
                <w:p>
                  <w:pPr>
                    <w:pStyle w:val="27"/>
                    <w:spacing w:line="240" w:lineRule="auto"/>
                    <w:jc w:val="center"/>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验收阶段建筑面积</w:t>
                  </w:r>
                </w:p>
              </w:tc>
              <w:tc>
                <w:tcPr>
                  <w:tcW w:w="763" w:type="pct"/>
                  <w:vAlign w:val="center"/>
                </w:tcPr>
                <w:p>
                  <w:pPr>
                    <w:pStyle w:val="27"/>
                    <w:spacing w:line="240" w:lineRule="auto"/>
                    <w:jc w:val="center"/>
                    <w:rPr>
                      <w:rFonts w:hint="default" w:ascii="Times New Roman" w:hAnsi="Times New Roman" w:eastAsia="宋体" w:cs="Times New Roman"/>
                      <w:b w:val="0"/>
                      <w:bCs w:val="0"/>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验收阶段数量</w:t>
                  </w:r>
                </w:p>
              </w:tc>
              <w:tc>
                <w:tcPr>
                  <w:tcW w:w="763" w:type="pct"/>
                  <w:vAlign w:val="center"/>
                </w:tcPr>
                <w:p>
                  <w:pPr>
                    <w:pStyle w:val="27"/>
                    <w:spacing w:line="240" w:lineRule="auto"/>
                    <w:jc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一</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储油罐和储气罐总容积</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3</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210</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合计6具，其中储油罐5具，储气罐1具</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210</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合计6具，其中储油罐5具，储气罐1具</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二</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占地面积</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5068</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5068</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三</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建筑面积</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845.14</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A站总建筑面积</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845.14</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A站总建筑面积</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罩棚（</w:t>
                  </w:r>
                  <w:r>
                    <w:rPr>
                      <w:rFonts w:hint="default" w:ascii="Times New Roman" w:hAnsi="Times New Roman" w:eastAsia="宋体" w:cs="Times New Roman"/>
                      <w:b w:val="0"/>
                      <w:bCs w:val="0"/>
                      <w:kern w:val="0"/>
                      <w:sz w:val="21"/>
                      <w:szCs w:val="21"/>
                    </w:rPr>
                    <w:t>螺栓</w:t>
                  </w:r>
                  <w:r>
                    <w:rPr>
                      <w:rFonts w:hint="default" w:ascii="Times New Roman" w:hAnsi="Times New Roman" w:eastAsia="宋体" w:cs="Times New Roman"/>
                      <w:b w:val="0"/>
                      <w:bCs w:val="0"/>
                      <w:sz w:val="21"/>
                      <w:szCs w:val="21"/>
                    </w:rPr>
                    <w:t>球型网架结构）</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616</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1座罩棚，</w:t>
                  </w:r>
                  <w:r>
                    <w:rPr>
                      <w:rFonts w:hint="default" w:ascii="Times New Roman" w:hAnsi="Times New Roman" w:eastAsia="宋体" w:cs="Times New Roman"/>
                      <w:b w:val="0"/>
                      <w:bCs w:val="0"/>
                      <w:kern w:val="0"/>
                      <w:sz w:val="21"/>
                      <w:szCs w:val="21"/>
                    </w:rPr>
                    <w:t>水平投影面积为616m</w:t>
                  </w:r>
                  <w:r>
                    <w:rPr>
                      <w:rFonts w:hint="default" w:ascii="Times New Roman" w:hAnsi="Times New Roman" w:eastAsia="宋体" w:cs="Times New Roman"/>
                      <w:b w:val="0"/>
                      <w:bCs w:val="0"/>
                      <w:kern w:val="0"/>
                      <w:sz w:val="21"/>
                      <w:szCs w:val="21"/>
                      <w:vertAlign w:val="superscript"/>
                    </w:rPr>
                    <w:t>2</w:t>
                  </w:r>
                  <w:r>
                    <w:rPr>
                      <w:rFonts w:hint="default" w:ascii="Times New Roman" w:hAnsi="Times New Roman" w:eastAsia="宋体" w:cs="Times New Roman"/>
                      <w:b w:val="0"/>
                      <w:bCs w:val="0"/>
                      <w:kern w:val="0"/>
                      <w:sz w:val="21"/>
                      <w:szCs w:val="21"/>
                    </w:rPr>
                    <w:t>，建筑面积为308m</w:t>
                  </w:r>
                  <w:r>
                    <w:rPr>
                      <w:rFonts w:hint="default" w:ascii="Times New Roman" w:hAnsi="Times New Roman" w:eastAsia="宋体" w:cs="Times New Roman"/>
                      <w:b w:val="0"/>
                      <w:bCs w:val="0"/>
                      <w:kern w:val="0"/>
                      <w:sz w:val="21"/>
                      <w:szCs w:val="21"/>
                      <w:vertAlign w:val="superscript"/>
                    </w:rPr>
                    <w:t>2</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616</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1座罩棚，</w:t>
                  </w:r>
                  <w:r>
                    <w:rPr>
                      <w:rFonts w:hint="default" w:ascii="Times New Roman" w:hAnsi="Times New Roman" w:eastAsia="宋体" w:cs="Times New Roman"/>
                      <w:b w:val="0"/>
                      <w:bCs w:val="0"/>
                      <w:kern w:val="0"/>
                      <w:sz w:val="21"/>
                      <w:szCs w:val="21"/>
                    </w:rPr>
                    <w:t>水平投影面积为616m</w:t>
                  </w:r>
                  <w:r>
                    <w:rPr>
                      <w:rFonts w:hint="default" w:ascii="Times New Roman" w:hAnsi="Times New Roman" w:eastAsia="宋体" w:cs="Times New Roman"/>
                      <w:b w:val="0"/>
                      <w:bCs w:val="0"/>
                      <w:kern w:val="0"/>
                      <w:sz w:val="21"/>
                      <w:szCs w:val="21"/>
                      <w:vertAlign w:val="superscript"/>
                    </w:rPr>
                    <w:t>2</w:t>
                  </w:r>
                  <w:r>
                    <w:rPr>
                      <w:rFonts w:hint="default" w:ascii="Times New Roman" w:hAnsi="Times New Roman" w:eastAsia="宋体" w:cs="Times New Roman"/>
                      <w:b w:val="0"/>
                      <w:bCs w:val="0"/>
                      <w:kern w:val="0"/>
                      <w:sz w:val="21"/>
                      <w:szCs w:val="21"/>
                    </w:rPr>
                    <w:t>，建筑面积为308m</w:t>
                  </w:r>
                  <w:r>
                    <w:rPr>
                      <w:rFonts w:hint="default" w:ascii="Times New Roman" w:hAnsi="Times New Roman" w:eastAsia="宋体" w:cs="Times New Roman"/>
                      <w:b w:val="0"/>
                      <w:bCs w:val="0"/>
                      <w:kern w:val="0"/>
                      <w:sz w:val="21"/>
                      <w:szCs w:val="21"/>
                      <w:vertAlign w:val="superscript"/>
                    </w:rPr>
                    <w:t>2</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站房（框架结构）</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458.28</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kern w:val="0"/>
                      <w:sz w:val="21"/>
                      <w:szCs w:val="21"/>
                    </w:rPr>
                    <w:t>二层框架结构</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458.28</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0"/>
                      <w:sz w:val="21"/>
                      <w:szCs w:val="21"/>
                    </w:rPr>
                    <w:t>二层框架结构</w:t>
                  </w:r>
                </w:p>
              </w:tc>
              <w:tc>
                <w:tcPr>
                  <w:tcW w:w="763" w:type="pct"/>
                  <w:vAlign w:val="center"/>
                </w:tcPr>
                <w:p>
                  <w:pPr>
                    <w:adjustRightInd w:val="0"/>
                    <w:snapToGrid w:val="0"/>
                    <w:jc w:val="center"/>
                    <w:rPr>
                      <w:rFonts w:hint="default" w:ascii="Times New Roman" w:hAnsi="Times New Roman" w:eastAsia="宋体" w:cs="Times New Roman"/>
                      <w:b w:val="0"/>
                      <w:bCs w:val="0"/>
                      <w:kern w:val="0"/>
                      <w:sz w:val="21"/>
                      <w:szCs w:val="21"/>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地下油罐池</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168.2</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9.4×18.9m</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168.2</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9.4×18.9m</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 w:hRule="atLeast"/>
                <w:jc w:val="center"/>
              </w:trPr>
              <w:tc>
                <w:tcPr>
                  <w:tcW w:w="250"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764"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LNG储气罐</w:t>
                  </w:r>
                </w:p>
              </w:tc>
              <w:tc>
                <w:tcPr>
                  <w:tcW w:w="461"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m</w:t>
                  </w:r>
                  <w:r>
                    <w:rPr>
                      <w:rFonts w:hint="default" w:ascii="Times New Roman" w:hAnsi="Times New Roman" w:eastAsia="宋体" w:cs="Times New Roman"/>
                      <w:b w:val="0"/>
                      <w:bCs w:val="0"/>
                      <w:sz w:val="21"/>
                      <w:szCs w:val="21"/>
                      <w:vertAlign w:val="superscript"/>
                    </w:rPr>
                    <w:t>2</w:t>
                  </w:r>
                </w:p>
              </w:tc>
              <w:tc>
                <w:tcPr>
                  <w:tcW w:w="582"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85.68</w:t>
                  </w:r>
                </w:p>
              </w:tc>
              <w:tc>
                <w:tcPr>
                  <w:tcW w:w="735"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4.2×20.4m</w:t>
                  </w:r>
                </w:p>
              </w:tc>
              <w:tc>
                <w:tcPr>
                  <w:tcW w:w="678"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85.68</w:t>
                  </w:r>
                </w:p>
              </w:tc>
              <w:tc>
                <w:tcPr>
                  <w:tcW w:w="763" w:type="pct"/>
                  <w:vAlign w:val="center"/>
                </w:tcPr>
                <w:p>
                  <w:pPr>
                    <w:adjustRightInd w:val="0"/>
                    <w:snapToGrid w:val="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4.2×20.4m</w:t>
                  </w:r>
                </w:p>
              </w:tc>
              <w:tc>
                <w:tcPr>
                  <w:tcW w:w="763" w:type="pct"/>
                  <w:vAlign w:val="center"/>
                </w:tcPr>
                <w:p>
                  <w:pPr>
                    <w:adjustRightInd w:val="0"/>
                    <w:snapToGrid w:val="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lang w:val="en-US" w:eastAsia="zh-CN"/>
                    </w:rPr>
                    <w:t>一致</w:t>
                  </w:r>
                </w:p>
              </w:tc>
            </w:tr>
          </w:tbl>
          <w:p>
            <w:pPr>
              <w:numPr>
                <w:ilvl w:val="0"/>
                <w:numId w:val="0"/>
              </w:numPr>
              <w:spacing w:line="360" w:lineRule="auto"/>
              <w:ind w:firstLine="480" w:firstLineChars="200"/>
              <w:jc w:val="left"/>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经现场勘查，本项目运营过程中</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B站建设内容：实际B站站房为一层结构，其他建设内容与A站一样，A、B站</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基本按照环评要求建设完成。</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1"/>
              <w:gridCol w:w="4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drawing>
                      <wp:inline distT="0" distB="0" distL="114300" distR="114300">
                        <wp:extent cx="2298700" cy="2501900"/>
                        <wp:effectExtent l="0" t="0" r="6350" b="12700"/>
                        <wp:docPr id="2" name="图片 2" descr="油气回收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油气回收A"/>
                                <pic:cNvPicPr>
                                  <a:picLocks noChangeAspect="1"/>
                                </pic:cNvPicPr>
                              </pic:nvPicPr>
                              <pic:blipFill>
                                <a:blip r:embed="rId15"/>
                                <a:stretch>
                                  <a:fillRect/>
                                </a:stretch>
                              </pic:blipFill>
                              <pic:spPr>
                                <a:xfrm>
                                  <a:off x="0" y="0"/>
                                  <a:ext cx="2298700" cy="2501900"/>
                                </a:xfrm>
                                <a:prstGeom prst="rect">
                                  <a:avLst/>
                                </a:prstGeom>
                              </pic:spPr>
                            </pic:pic>
                          </a:graphicData>
                        </a:graphic>
                      </wp:inline>
                    </w:drawing>
                  </w:r>
                </w:p>
              </w:tc>
              <w:tc>
                <w:tcPr>
                  <w:tcW w:w="4282"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drawing>
                      <wp:inline distT="0" distB="0" distL="114300" distR="114300">
                        <wp:extent cx="2303780" cy="2396490"/>
                        <wp:effectExtent l="0" t="0" r="1270" b="3810"/>
                        <wp:docPr id="8" name="图片 8" descr="油气回收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油气回收B"/>
                                <pic:cNvPicPr>
                                  <a:picLocks noChangeAspect="1"/>
                                </pic:cNvPicPr>
                              </pic:nvPicPr>
                              <pic:blipFill>
                                <a:blip r:embed="rId16"/>
                                <a:stretch>
                                  <a:fillRect/>
                                </a:stretch>
                              </pic:blipFill>
                              <pic:spPr>
                                <a:xfrm>
                                  <a:off x="0" y="0"/>
                                  <a:ext cx="2303780" cy="23964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center"/>
                    <w:rPr>
                      <w:rFonts w:hint="default" w:ascii="Times New Roman" w:hAnsi="Times New Roman" w:cs="Times New Roman"/>
                      <w:b w:val="0"/>
                      <w:bCs w:val="0"/>
                      <w:sz w:val="24"/>
                      <w:szCs w:val="24"/>
                      <w:highlight w:val="none"/>
                      <w:vertAlign w:val="baseline"/>
                      <w:lang w:val="en-US" w:eastAsia="zh-CN"/>
                    </w:rPr>
                  </w:pPr>
                  <w:r>
                    <w:rPr>
                      <w:rFonts w:hint="eastAsia" w:ascii="Times New Roman" w:hAnsi="Times New Roman" w:cs="Times New Roman"/>
                      <w:b w:val="0"/>
                      <w:bCs w:val="0"/>
                      <w:sz w:val="24"/>
                      <w:szCs w:val="24"/>
                      <w:highlight w:val="none"/>
                      <w:vertAlign w:val="baseline"/>
                      <w:lang w:val="en-US" w:eastAsia="zh-CN"/>
                    </w:rPr>
                    <w:t>A站油气回收系统</w:t>
                  </w:r>
                </w:p>
              </w:tc>
              <w:tc>
                <w:tcPr>
                  <w:tcW w:w="4282" w:type="dxa"/>
                </w:tcPr>
                <w:p>
                  <w:pPr>
                    <w:numPr>
                      <w:ilvl w:val="0"/>
                      <w:numId w:val="0"/>
                    </w:numPr>
                    <w:spacing w:line="360" w:lineRule="auto"/>
                    <w:jc w:val="center"/>
                    <w:rPr>
                      <w:rFonts w:hint="default" w:ascii="Times New Roman" w:hAnsi="Times New Roman" w:cs="Times New Roman"/>
                      <w:b w:val="0"/>
                      <w:bCs w:val="0"/>
                      <w:sz w:val="24"/>
                      <w:szCs w:val="24"/>
                      <w:highlight w:val="none"/>
                      <w:vertAlign w:val="baseline"/>
                      <w:lang w:val="en-US" w:eastAsia="zh-CN"/>
                    </w:rPr>
                  </w:pPr>
                  <w:r>
                    <w:rPr>
                      <w:rFonts w:hint="eastAsia" w:ascii="Times New Roman" w:hAnsi="Times New Roman" w:cs="Times New Roman"/>
                      <w:b w:val="0"/>
                      <w:bCs w:val="0"/>
                      <w:sz w:val="24"/>
                      <w:szCs w:val="24"/>
                      <w:highlight w:val="none"/>
                      <w:vertAlign w:val="baseline"/>
                      <w:lang w:val="en-US" w:eastAsia="zh-CN"/>
                    </w:rPr>
                    <w:t>B站油气回收系统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drawing>
                      <wp:inline distT="0" distB="0" distL="114300" distR="114300">
                        <wp:extent cx="2526665" cy="2258060"/>
                        <wp:effectExtent l="0" t="0" r="6985" b="8890"/>
                        <wp:docPr id="12" name="图片 12" descr="加油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加油站"/>
                                <pic:cNvPicPr>
                                  <a:picLocks noChangeAspect="1"/>
                                </pic:cNvPicPr>
                              </pic:nvPicPr>
                              <pic:blipFill>
                                <a:blip r:embed="rId17"/>
                                <a:stretch>
                                  <a:fillRect/>
                                </a:stretch>
                              </pic:blipFill>
                              <pic:spPr>
                                <a:xfrm>
                                  <a:off x="0" y="0"/>
                                  <a:ext cx="2526665" cy="2258060"/>
                                </a:xfrm>
                                <a:prstGeom prst="rect">
                                  <a:avLst/>
                                </a:prstGeom>
                              </pic:spPr>
                            </pic:pic>
                          </a:graphicData>
                        </a:graphic>
                      </wp:inline>
                    </w:drawing>
                  </w:r>
                </w:p>
              </w:tc>
              <w:tc>
                <w:tcPr>
                  <w:tcW w:w="4282"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default" w:ascii="Times New Roman" w:hAnsi="Times New Roman" w:cs="Times New Roman"/>
                      <w:b/>
                      <w:bCs/>
                      <w:sz w:val="24"/>
                      <w:szCs w:val="24"/>
                      <w:highlight w:val="none"/>
                      <w:vertAlign w:val="baseline"/>
                      <w:lang w:val="en-US" w:eastAsia="zh-CN"/>
                    </w:rPr>
                    <w:drawing>
                      <wp:inline distT="0" distB="0" distL="114300" distR="114300">
                        <wp:extent cx="2578735" cy="2301240"/>
                        <wp:effectExtent l="0" t="0" r="12065" b="3810"/>
                        <wp:docPr id="20" name="图片 20"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B"/>
                                <pic:cNvPicPr>
                                  <a:picLocks noChangeAspect="1"/>
                                </pic:cNvPicPr>
                              </pic:nvPicPr>
                              <pic:blipFill>
                                <a:blip r:embed="rId18"/>
                                <a:stretch>
                                  <a:fillRect/>
                                </a:stretch>
                              </pic:blipFill>
                              <pic:spPr>
                                <a:xfrm>
                                  <a:off x="0" y="0"/>
                                  <a:ext cx="2578735" cy="23012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A站</w:t>
                  </w:r>
                </w:p>
              </w:tc>
              <w:tc>
                <w:tcPr>
                  <w:tcW w:w="4282"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B站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drawing>
                      <wp:inline distT="0" distB="0" distL="114300" distR="114300">
                        <wp:extent cx="2200275" cy="2541905"/>
                        <wp:effectExtent l="0" t="0" r="9525" b="10795"/>
                        <wp:docPr id="6" name="图片 6" descr="微信图片_20240102161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40102161631"/>
                                <pic:cNvPicPr>
                                  <a:picLocks noChangeAspect="1"/>
                                </pic:cNvPicPr>
                              </pic:nvPicPr>
                              <pic:blipFill>
                                <a:blip r:embed="rId19"/>
                                <a:stretch>
                                  <a:fillRect/>
                                </a:stretch>
                              </pic:blipFill>
                              <pic:spPr>
                                <a:xfrm>
                                  <a:off x="0" y="0"/>
                                  <a:ext cx="2200275" cy="2541905"/>
                                </a:xfrm>
                                <a:prstGeom prst="rect">
                                  <a:avLst/>
                                </a:prstGeom>
                              </pic:spPr>
                            </pic:pic>
                          </a:graphicData>
                        </a:graphic>
                      </wp:inline>
                    </w:drawing>
                  </w:r>
                </w:p>
              </w:tc>
              <w:tc>
                <w:tcPr>
                  <w:tcW w:w="4282"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drawing>
                      <wp:inline distT="0" distB="0" distL="114300" distR="114300">
                        <wp:extent cx="2524760" cy="2462530"/>
                        <wp:effectExtent l="0" t="0" r="8890" b="13970"/>
                        <wp:docPr id="14" name="图片 14" descr="储油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储油罐"/>
                                <pic:cNvPicPr>
                                  <a:picLocks noChangeAspect="1"/>
                                </pic:cNvPicPr>
                              </pic:nvPicPr>
                              <pic:blipFill>
                                <a:blip r:embed="rId20"/>
                                <a:stretch>
                                  <a:fillRect/>
                                </a:stretch>
                              </pic:blipFill>
                              <pic:spPr>
                                <a:xfrm>
                                  <a:off x="0" y="0"/>
                                  <a:ext cx="2524760" cy="24625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储油罐</w:t>
                  </w:r>
                </w:p>
              </w:tc>
              <w:tc>
                <w:tcPr>
                  <w:tcW w:w="4282" w:type="dxa"/>
                </w:tcPr>
                <w:p>
                  <w:pPr>
                    <w:numPr>
                      <w:ilvl w:val="0"/>
                      <w:numId w:val="0"/>
                    </w:numPr>
                    <w:spacing w:line="360" w:lineRule="auto"/>
                    <w:jc w:val="left"/>
                    <w:rPr>
                      <w:rFonts w:hint="default"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储油罐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drawing>
                      <wp:inline distT="0" distB="0" distL="114300" distR="114300">
                        <wp:extent cx="2043430" cy="2482215"/>
                        <wp:effectExtent l="0" t="0" r="13970" b="13335"/>
                        <wp:docPr id="16" name="图片 16" descr="地下水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地下水B"/>
                                <pic:cNvPicPr>
                                  <a:picLocks noChangeAspect="1"/>
                                </pic:cNvPicPr>
                              </pic:nvPicPr>
                              <pic:blipFill>
                                <a:blip r:embed="rId21"/>
                                <a:stretch>
                                  <a:fillRect/>
                                </a:stretch>
                              </pic:blipFill>
                              <pic:spPr>
                                <a:xfrm>
                                  <a:off x="0" y="0"/>
                                  <a:ext cx="2043430" cy="2482215"/>
                                </a:xfrm>
                                <a:prstGeom prst="rect">
                                  <a:avLst/>
                                </a:prstGeom>
                              </pic:spPr>
                            </pic:pic>
                          </a:graphicData>
                        </a:graphic>
                      </wp:inline>
                    </w:drawing>
                  </w:r>
                </w:p>
              </w:tc>
              <w:tc>
                <w:tcPr>
                  <w:tcW w:w="4282"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drawing>
                      <wp:inline distT="0" distB="0" distL="114300" distR="114300">
                        <wp:extent cx="2413000" cy="2445385"/>
                        <wp:effectExtent l="0" t="0" r="6350" b="12065"/>
                        <wp:docPr id="13" name="图片 13" descr="地下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地下水"/>
                                <pic:cNvPicPr>
                                  <a:picLocks noChangeAspect="1"/>
                                </pic:cNvPicPr>
                              </pic:nvPicPr>
                              <pic:blipFill>
                                <a:blip r:embed="rId22"/>
                                <a:stretch>
                                  <a:fillRect/>
                                </a:stretch>
                              </pic:blipFill>
                              <pic:spPr>
                                <a:xfrm>
                                  <a:off x="0" y="0"/>
                                  <a:ext cx="2413000" cy="24453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1"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地下水监测井</w:t>
                  </w:r>
                </w:p>
              </w:tc>
              <w:tc>
                <w:tcPr>
                  <w:tcW w:w="4282" w:type="dxa"/>
                </w:tcPr>
                <w:p>
                  <w:pPr>
                    <w:numPr>
                      <w:ilvl w:val="0"/>
                      <w:numId w:val="0"/>
                    </w:numPr>
                    <w:spacing w:line="360" w:lineRule="auto"/>
                    <w:jc w:val="left"/>
                    <w:rPr>
                      <w:rFonts w:hint="eastAsia" w:ascii="Times New Roman" w:hAnsi="Times New Roman" w:cs="Times New Roman"/>
                      <w:b/>
                      <w:bCs/>
                      <w:sz w:val="24"/>
                      <w:szCs w:val="24"/>
                      <w:highlight w:val="none"/>
                      <w:vertAlign w:val="baseline"/>
                      <w:lang w:val="en-US" w:eastAsia="zh-CN"/>
                    </w:rPr>
                  </w:pPr>
                  <w:r>
                    <w:rPr>
                      <w:rFonts w:hint="eastAsia" w:ascii="Times New Roman" w:hAnsi="Times New Roman" w:cs="Times New Roman"/>
                      <w:b/>
                      <w:bCs/>
                      <w:sz w:val="24"/>
                      <w:szCs w:val="24"/>
                      <w:highlight w:val="none"/>
                      <w:vertAlign w:val="baseline"/>
                      <w:lang w:val="en-US" w:eastAsia="zh-CN"/>
                    </w:rPr>
                    <w:t>地下水监测井</w:t>
                  </w:r>
                </w:p>
              </w:tc>
            </w:tr>
          </w:tbl>
          <w:p>
            <w:pPr>
              <w:numPr>
                <w:ilvl w:val="0"/>
                <w:numId w:val="0"/>
              </w:numPr>
              <w:spacing w:line="360" w:lineRule="auto"/>
              <w:jc w:val="left"/>
              <w:rPr>
                <w:rFonts w:hint="default" w:ascii="Times New Roman" w:hAnsi="Times New Roman" w:cs="Times New Roman"/>
                <w:b/>
                <w:bCs/>
                <w:sz w:val="24"/>
                <w:szCs w:val="24"/>
                <w:highlight w:val="none"/>
                <w:lang w:val="en-US" w:eastAsia="zh-CN"/>
              </w:rPr>
            </w:pPr>
            <w:r>
              <w:rPr>
                <w:rFonts w:hint="default" w:ascii="Times New Roman" w:hAnsi="Times New Roman" w:cs="Times New Roman"/>
                <w:b/>
                <w:bCs/>
                <w:sz w:val="24"/>
                <w:szCs w:val="24"/>
                <w:highlight w:val="none"/>
                <w:lang w:val="en-US" w:eastAsia="zh-CN"/>
              </w:rPr>
              <w:t>2.</w:t>
            </w:r>
            <w:r>
              <w:rPr>
                <w:rFonts w:hint="eastAsia" w:ascii="Times New Roman" w:hAnsi="Times New Roman" w:cs="Times New Roman"/>
                <w:b/>
                <w:bCs/>
                <w:sz w:val="24"/>
                <w:szCs w:val="24"/>
                <w:highlight w:val="none"/>
                <w:lang w:val="en-US" w:eastAsia="zh-CN"/>
              </w:rPr>
              <w:t>5</w:t>
            </w:r>
            <w:r>
              <w:rPr>
                <w:rFonts w:hint="default" w:ascii="Times New Roman" w:hAnsi="Times New Roman" w:cs="Times New Roman"/>
                <w:b/>
                <w:bCs/>
                <w:sz w:val="24"/>
                <w:szCs w:val="24"/>
                <w:highlight w:val="none"/>
                <w:lang w:val="en-US" w:eastAsia="zh-CN"/>
              </w:rPr>
              <w:t>项目变动情况</w:t>
            </w:r>
          </w:p>
          <w:p>
            <w:pPr>
              <w:pStyle w:val="21"/>
              <w:jc w:val="center"/>
              <w:rPr>
                <w:rFonts w:hint="default" w:ascii="Times New Roman" w:hAnsi="Times New Roman" w:cs="Times New Roman"/>
                <w:highlight w:val="none"/>
                <w:lang w:val="en-US" w:eastAsia="zh-CN"/>
              </w:rPr>
            </w:pPr>
            <w:r>
              <w:rPr>
                <w:rFonts w:hint="default" w:ascii="Times New Roman" w:hAnsi="Times New Roman" w:cs="Times New Roman"/>
                <w:b/>
                <w:bCs/>
                <w:sz w:val="24"/>
                <w:szCs w:val="24"/>
                <w:highlight w:val="none"/>
                <w:lang w:val="en-US" w:eastAsia="zh-CN"/>
              </w:rPr>
              <w:t>表</w:t>
            </w:r>
            <w:r>
              <w:rPr>
                <w:rFonts w:hint="eastAsia" w:ascii="Times New Roman" w:hAnsi="Times New Roman" w:cs="Times New Roman"/>
                <w:b/>
                <w:bCs/>
                <w:sz w:val="24"/>
                <w:szCs w:val="24"/>
                <w:highlight w:val="none"/>
                <w:lang w:val="en-US" w:eastAsia="zh-CN"/>
              </w:rPr>
              <w:t>2-3</w:t>
            </w:r>
            <w:r>
              <w:rPr>
                <w:rFonts w:hint="default" w:ascii="Times New Roman" w:hAnsi="Times New Roman" w:cs="Times New Roman"/>
                <w:b/>
                <w:bCs/>
                <w:sz w:val="24"/>
                <w:szCs w:val="24"/>
                <w:highlight w:val="none"/>
                <w:lang w:val="en-US" w:eastAsia="zh-CN"/>
              </w:rPr>
              <w:t xml:space="preserve"> </w:t>
            </w:r>
            <w:r>
              <w:rPr>
                <w:rFonts w:hint="eastAsia" w:ascii="Times New Roman" w:hAnsi="Times New Roman" w:cs="Times New Roman"/>
                <w:b/>
                <w:bCs/>
                <w:sz w:val="24"/>
                <w:szCs w:val="24"/>
                <w:highlight w:val="none"/>
                <w:lang w:val="en-US" w:eastAsia="zh-CN"/>
              </w:rPr>
              <w:t xml:space="preserve">  </w:t>
            </w:r>
            <w:r>
              <w:rPr>
                <w:rFonts w:hint="default" w:ascii="Times New Roman" w:hAnsi="Times New Roman" w:cs="Times New Roman"/>
                <w:b/>
                <w:bCs/>
                <w:sz w:val="24"/>
                <w:szCs w:val="24"/>
                <w:highlight w:val="none"/>
                <w:lang w:val="en-US" w:eastAsia="zh-CN"/>
              </w:rPr>
              <w:t xml:space="preserve">  项目变动情况对照表</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58"/>
              <w:gridCol w:w="1907"/>
              <w:gridCol w:w="121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199" w:leftChars="0" w:hanging="199" w:hangingChars="95"/>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变动清单</w:t>
                  </w: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实际变动情况</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是否属于重大变动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性质:</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8" w:firstLineChars="104"/>
                    <w:jc w:val="both"/>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1.建设项目开发、使用功能发生变化的。</w:t>
                  </w: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未发生变动</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规模</w:t>
                  </w:r>
                  <w:r>
                    <w:rPr>
                      <w:rFonts w:hint="eastAsia" w:ascii="Times New Roman" w:hAnsi="Times New Roman" w:eastAsia="宋体" w:cs="Times New Roman"/>
                      <w:color w:val="000000"/>
                      <w:kern w:val="0"/>
                      <w:sz w:val="21"/>
                      <w:szCs w:val="21"/>
                      <w:highlight w:val="none"/>
                      <w:lang w:val="en-US" w:eastAsia="zh-CN" w:bidi="ar-SA"/>
                    </w:rPr>
                    <w:t>：</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2.生产、处置或储存能力增大30%及以上的。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3.生产、处置或储存能力增大，导致废水第一类污染物排放量增加的。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eastAsia" w:ascii="Times New Roman" w:hAnsi="Times New Roman" w:eastAsia="宋体" w:cs="Times New Roman"/>
                      <w:color w:val="000000"/>
                      <w:kern w:val="0"/>
                      <w:sz w:val="21"/>
                      <w:szCs w:val="21"/>
                      <w:highlight w:val="none"/>
                      <w:lang w:val="en-US" w:eastAsia="zh-CN" w:bidi="ar-SA"/>
                    </w:rPr>
                    <w:t>未发生变动</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地点</w:t>
                  </w:r>
                  <w:r>
                    <w:rPr>
                      <w:rFonts w:hint="eastAsia" w:ascii="Times New Roman" w:hAnsi="Times New Roman" w:eastAsia="宋体" w:cs="Times New Roman"/>
                      <w:color w:val="000000"/>
                      <w:kern w:val="0"/>
                      <w:sz w:val="21"/>
                      <w:szCs w:val="21"/>
                      <w:highlight w:val="none"/>
                      <w:lang w:val="en-US" w:eastAsia="zh-CN" w:bidi="ar-SA"/>
                    </w:rPr>
                    <w:t>：</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jc w:val="both"/>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5.重新选址；在原厂址附近调整（包括总平面布置变化）导致环境防护距离范围变化且新增敏感点的。</w:t>
                  </w: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未发生变动</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生产工艺</w:t>
                  </w:r>
                  <w:r>
                    <w:rPr>
                      <w:rFonts w:hint="eastAsia" w:ascii="Times New Roman" w:hAnsi="Times New Roman" w:eastAsia="宋体" w:cs="Times New Roman"/>
                      <w:color w:val="000000"/>
                      <w:kern w:val="0"/>
                      <w:sz w:val="21"/>
                      <w:szCs w:val="21"/>
                      <w:highlight w:val="none"/>
                      <w:lang w:val="en-US" w:eastAsia="zh-CN" w:bidi="ar-SA"/>
                    </w:rPr>
                    <w:t>：</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6.新增产品品种或生产工艺（含主要生产装置、设备及配套设施）、主要原辅材料、燃料变化，导致以下情形之一：</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（1）新增排放污染物种类的（毒性、挥发性降低的除外）；</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（2）位于环境质量不达标区的建设项目相应污染物排放量增加的；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（3）废水第一类污染物排放量增加的；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（4）其他污染物排放量增加10%及以上的。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210" w:firstLineChars="100"/>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7.物料运输、装卸、贮存方式变化，导致大气污染物无组织排放量增加10%及以上的。</w:t>
                  </w: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未发生变动</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20"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环境保护措施</w:t>
                  </w:r>
                  <w:r>
                    <w:rPr>
                      <w:rFonts w:hint="eastAsia" w:ascii="Times New Roman" w:hAnsi="Times New Roman" w:eastAsia="宋体" w:cs="Times New Roman"/>
                      <w:color w:val="000000"/>
                      <w:kern w:val="0"/>
                      <w:sz w:val="21"/>
                      <w:szCs w:val="21"/>
                      <w:highlight w:val="none"/>
                      <w:lang w:val="en-US" w:eastAsia="zh-CN" w:bidi="ar-SA"/>
                    </w:rPr>
                    <w:t>：</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8.废气、废水污染防治措施变化，导致第6条中所列情形之一（废气无组织排放改为有组织排放、污染防治措施强化或改进的除外）或大气污染物无组织排放量增加10%及以上的。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9.新增废水直接排放口；废水由间接排放改为直接排放；废水直接排放口位置变化，导致不利环境影响加重的。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10.新增废气主要排放口（废气无组织排放改为有组织排放的除外）；主要排放口排气筒高度降低10%及以上的。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11.噪声、土壤或地下水污染防治措施变化，导致不利环境影响加重的。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12.固体废物利用处置方式由委托外单位利用处置改为自行利用处置的（自行利用处置设施单独开展环境影响评价的除外）；固体废物自行处置方式变化，导致不利环境影响加重的。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　13.事故废水暂存能力或拦截设施变化，导致环境风险防范能力弱化或降低的。</w:t>
                  </w:r>
                </w:p>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color w:val="000000"/>
                      <w:kern w:val="0"/>
                      <w:sz w:val="21"/>
                      <w:szCs w:val="21"/>
                      <w:highlight w:val="none"/>
                      <w:lang w:val="en-US" w:eastAsia="zh-CN" w:bidi="ar-SA"/>
                    </w:rPr>
                  </w:pPr>
                </w:p>
              </w:tc>
              <w:tc>
                <w:tcPr>
                  <w:tcW w:w="1085"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未发生变动</w:t>
                  </w:r>
                </w:p>
              </w:tc>
              <w:tc>
                <w:tcPr>
                  <w:tcW w:w="694" w:type="pct"/>
                  <w:tcBorders>
                    <w:tl2br w:val="nil"/>
                    <w:tr2bl w:val="nil"/>
                  </w:tcBorders>
                  <w:vAlign w:val="center"/>
                </w:tcPr>
                <w:p>
                  <w:pPr>
                    <w:pStyle w:val="63"/>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bidi="ar-SA"/>
                    </w:rPr>
                    <w:t>否</w:t>
                  </w:r>
                </w:p>
              </w:tc>
            </w:tr>
          </w:tbl>
          <w:p>
            <w:pPr>
              <w:numPr>
                <w:ilvl w:val="0"/>
                <w:numId w:val="0"/>
              </w:numPr>
              <w:spacing w:line="360" w:lineRule="auto"/>
              <w:ind w:firstLine="480" w:firstLineChars="200"/>
              <w:jc w:val="left"/>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本次项目建设性质、地点、规模</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生产工艺均未发生变动，</w:t>
            </w:r>
            <w:r>
              <w:rPr>
                <w:rFonts w:hint="default" w:ascii="Times New Roman" w:hAnsi="Times New Roman" w:eastAsia="宋体" w:cs="Times New Roman"/>
                <w:color w:val="000000"/>
                <w:sz w:val="24"/>
                <w:szCs w:val="24"/>
                <w:highlight w:val="none"/>
                <w:lang w:val="en-US" w:eastAsia="zh-CN"/>
              </w:rPr>
              <w:t>本项目建设不存在重大变动</w:t>
            </w:r>
            <w:r>
              <w:rPr>
                <w:rFonts w:hint="default" w:ascii="Times New Roman" w:hAnsi="Times New Roman" w:eastAsia="宋体" w:cs="Times New Roman"/>
                <w:sz w:val="24"/>
                <w:szCs w:val="24"/>
                <w:highlight w:val="none"/>
                <w:lang w:val="en-US" w:eastAsia="zh-CN"/>
              </w:rPr>
              <w:t>。</w:t>
            </w:r>
          </w:p>
          <w:p>
            <w:pPr>
              <w:numPr>
                <w:ilvl w:val="0"/>
                <w:numId w:val="0"/>
              </w:numPr>
              <w:spacing w:line="360" w:lineRule="auto"/>
              <w:ind w:firstLine="482"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cs="Times New Roman" w:hAnsiTheme="minorEastAsia"/>
                <w:b/>
                <w:bCs/>
                <w:color w:val="000000" w:themeColor="text1"/>
                <w:sz w:val="24"/>
                <w:szCs w:val="24"/>
                <w:highlight w:val="none"/>
                <w:lang w:val="en-US" w:eastAsia="zh-CN"/>
                <w14:textFill>
                  <w14:solidFill>
                    <w14:schemeClr w14:val="tx1"/>
                  </w14:solidFill>
                </w14:textFill>
              </w:rPr>
              <w:t>2.6</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原辅</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材</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料</w:t>
            </w:r>
          </w:p>
          <w:p>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现场勘察</w:t>
            </w:r>
            <w:r>
              <w:rPr>
                <w:rFonts w:hint="default" w:ascii="Times New Roman" w:hAnsi="Times New Roman" w:eastAsia="宋体" w:cs="Times New Roman"/>
                <w:color w:val="000000" w:themeColor="text1"/>
                <w:sz w:val="24"/>
                <w:szCs w:val="24"/>
                <w:highlight w:val="none"/>
                <w14:textFill>
                  <w14:solidFill>
                    <w14:schemeClr w14:val="tx1"/>
                  </w14:solidFill>
                </w14:textFill>
              </w:rPr>
              <w:t>得知，</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本项目实际设置了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2台双枪加油机，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台单枪加油机。B站与A站一致。</w:t>
            </w:r>
          </w:p>
          <w:p>
            <w:pPr>
              <w:tabs>
                <w:tab w:val="center" w:pos="4153"/>
                <w:tab w:val="left" w:pos="6372"/>
              </w:tabs>
              <w:spacing w:line="360" w:lineRule="auto"/>
              <w:jc w:val="center"/>
              <w:rPr>
                <w:rFonts w:hint="default" w:ascii="Times New Roman" w:hAnsi="Times New Roman" w:eastAsia="宋体" w:cs="Times New Roman"/>
                <w:b/>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14:textFill>
                  <w14:solidFill>
                    <w14:schemeClr w14:val="tx1"/>
                  </w14:solidFill>
                </w14:textFill>
              </w:rPr>
              <w:t>表2-</w:t>
            </w:r>
            <w:r>
              <w:rPr>
                <w:rFonts w:hint="eastAsia" w:ascii="Times New Roman" w:hAnsi="Times New Roman" w:eastAsia="宋体" w:cs="Times New Roman"/>
                <w:b/>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color w:val="000000" w:themeColor="text1"/>
                <w:sz w:val="24"/>
                <w:szCs w:val="24"/>
                <w:highlight w:val="none"/>
                <w14:textFill>
                  <w14:solidFill>
                    <w14:schemeClr w14:val="tx1"/>
                  </w14:solidFill>
                </w14:textFill>
              </w:rPr>
              <w:t xml:space="preserve">          </w:t>
            </w:r>
            <w:r>
              <w:rPr>
                <w:rFonts w:hint="default" w:ascii="Times New Roman" w:hAnsi="Times New Roman" w:eastAsia="宋体" w:cs="Times New Roman"/>
                <w:b/>
                <w:color w:val="000000" w:themeColor="text1"/>
                <w:sz w:val="24"/>
                <w:szCs w:val="24"/>
                <w:highlight w:val="none"/>
                <w:lang w:eastAsia="zh-CN"/>
                <w14:textFill>
                  <w14:solidFill>
                    <w14:schemeClr w14:val="tx1"/>
                  </w14:solidFill>
                </w14:textFill>
              </w:rPr>
              <w:t>项目</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原辅</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材料消耗</w:t>
            </w:r>
            <w:r>
              <w:rPr>
                <w:rFonts w:hint="default" w:ascii="Times New Roman" w:hAnsi="Times New Roman" w:eastAsia="宋体" w:cs="Times New Roman"/>
                <w:b/>
                <w:color w:val="000000" w:themeColor="text1"/>
                <w:sz w:val="24"/>
                <w:szCs w:val="24"/>
                <w:highlight w:val="none"/>
                <w:lang w:eastAsia="zh-CN"/>
                <w14:textFill>
                  <w14:solidFill>
                    <w14:schemeClr w14:val="tx1"/>
                  </w14:solidFill>
                </w14:textFill>
              </w:rPr>
              <w:t>对照表</w:t>
            </w:r>
          </w:p>
          <w:tbl>
            <w:tblPr>
              <w:tblStyle w:val="2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1361"/>
              <w:gridCol w:w="1326"/>
              <w:gridCol w:w="1466"/>
              <w:gridCol w:w="2699"/>
              <w:gridCol w:w="143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序号</w:t>
                  </w:r>
                </w:p>
              </w:tc>
              <w:tc>
                <w:tcPr>
                  <w:tcW w:w="774"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名称</w:t>
                  </w:r>
                </w:p>
              </w:tc>
              <w:tc>
                <w:tcPr>
                  <w:tcW w:w="754"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环评阶段年产消耗定额</w:t>
                  </w:r>
                </w:p>
              </w:tc>
              <w:tc>
                <w:tcPr>
                  <w:tcW w:w="834"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验收阶段</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消</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耗量（m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/a）</w:t>
                  </w:r>
                </w:p>
              </w:tc>
              <w:tc>
                <w:tcPr>
                  <w:tcW w:w="153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来源</w:t>
                  </w:r>
                </w:p>
              </w:tc>
              <w:tc>
                <w:tcPr>
                  <w:tcW w:w="814"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74"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汽油（销售）</w:t>
                  </w:r>
                </w:p>
              </w:tc>
              <w:tc>
                <w:tcPr>
                  <w:tcW w:w="754" w:type="pct"/>
                  <w:tcBorders>
                    <w:tl2br w:val="nil"/>
                    <w:tr2bl w:val="nil"/>
                  </w:tcBorders>
                  <w:vAlign w:val="center"/>
                </w:tcPr>
                <w:p>
                  <w:pPr>
                    <w:adjustRightInd w:val="0"/>
                    <w:snapToGrid w:val="0"/>
                    <w:ind w:left="-94" w:leftChars="-45"/>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2679.0t/a</w:t>
                  </w:r>
                </w:p>
              </w:tc>
              <w:tc>
                <w:tcPr>
                  <w:tcW w:w="834" w:type="pct"/>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2679.0t/a</w:t>
                  </w:r>
                </w:p>
              </w:tc>
              <w:tc>
                <w:tcPr>
                  <w:tcW w:w="1535" w:type="pct"/>
                  <w:vMerge w:val="restar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成品油资源供应由临洮油库提供，项目距油库约100km，可保证该地区的资源供应，槽车运输</w:t>
                  </w:r>
                </w:p>
              </w:tc>
              <w:tc>
                <w:tcPr>
                  <w:tcW w:w="814" w:type="pct"/>
                  <w:vMerge w:val="restar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年销售量有所下降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w:t>
                  </w:r>
                </w:p>
              </w:tc>
              <w:tc>
                <w:tcPr>
                  <w:tcW w:w="774"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柴油（销售）</w:t>
                  </w:r>
                </w:p>
              </w:tc>
              <w:tc>
                <w:tcPr>
                  <w:tcW w:w="754" w:type="pct"/>
                  <w:tcBorders>
                    <w:tl2br w:val="nil"/>
                    <w:tr2bl w:val="nil"/>
                  </w:tcBorders>
                  <w:vAlign w:val="center"/>
                </w:tcPr>
                <w:p>
                  <w:pPr>
                    <w:adjustRightInd w:val="0"/>
                    <w:snapToGrid w:val="0"/>
                    <w:ind w:left="-94" w:leftChars="-45"/>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2139.0t/a</w:t>
                  </w:r>
                </w:p>
              </w:tc>
              <w:tc>
                <w:tcPr>
                  <w:tcW w:w="834" w:type="pct"/>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2139.0t/a</w:t>
                  </w:r>
                </w:p>
              </w:tc>
              <w:tc>
                <w:tcPr>
                  <w:tcW w:w="1535" w:type="pct"/>
                  <w:vMerge w:val="continue"/>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814" w:type="pct"/>
                  <w:vMerge w:val="continue"/>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774"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柴油尾气处理液（尿素溶液）</w:t>
                  </w:r>
                </w:p>
              </w:tc>
              <w:tc>
                <w:tcPr>
                  <w:tcW w:w="754" w:type="pct"/>
                  <w:tcBorders>
                    <w:tl2br w:val="nil"/>
                    <w:tr2bl w:val="nil"/>
                  </w:tcBorders>
                  <w:vAlign w:val="center"/>
                </w:tcPr>
                <w:p>
                  <w:pPr>
                    <w:adjustRightInd w:val="0"/>
                    <w:snapToGrid w:val="0"/>
                    <w:ind w:left="-94" w:leftChars="-45"/>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200t/a</w:t>
                  </w:r>
                </w:p>
              </w:tc>
              <w:tc>
                <w:tcPr>
                  <w:tcW w:w="834" w:type="pct"/>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sz w:val="21"/>
                      <w:szCs w:val="21"/>
                      <w:highlight w:val="none"/>
                    </w:rPr>
                    <w:t>200t/a</w:t>
                  </w:r>
                </w:p>
              </w:tc>
              <w:tc>
                <w:tcPr>
                  <w:tcW w:w="1535"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814" w:type="pct"/>
                  <w:vMerge w:val="continue"/>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5"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p>
              </w:tc>
              <w:tc>
                <w:tcPr>
                  <w:tcW w:w="774"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z w:val="21"/>
                      <w:szCs w:val="21"/>
                      <w:highlight w:val="none"/>
                    </w:rPr>
                    <w:t>LNG（销售）</w:t>
                  </w:r>
                </w:p>
              </w:tc>
              <w:tc>
                <w:tcPr>
                  <w:tcW w:w="754" w:type="pct"/>
                  <w:tcBorders>
                    <w:tl2br w:val="nil"/>
                    <w:tr2bl w:val="nil"/>
                  </w:tcBorders>
                  <w:vAlign w:val="center"/>
                </w:tcPr>
                <w:p>
                  <w:pPr>
                    <w:adjustRightInd w:val="0"/>
                    <w:snapToGrid w:val="0"/>
                    <w:ind w:left="-94" w:leftChars="-45"/>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z w:val="21"/>
                      <w:szCs w:val="21"/>
                      <w:highlight w:val="none"/>
                    </w:rPr>
                    <w:t>2555.0t/a</w:t>
                  </w:r>
                </w:p>
              </w:tc>
              <w:tc>
                <w:tcPr>
                  <w:tcW w:w="834"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535" w:type="pct"/>
                  <w:tcBorders>
                    <w:tl2br w:val="nil"/>
                    <w:tr2bl w:val="nil"/>
                  </w:tcBorders>
                  <w:vAlign w:val="center"/>
                </w:tcPr>
                <w:p>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z w:val="21"/>
                      <w:szCs w:val="21"/>
                      <w:highlight w:val="none"/>
                    </w:rPr>
                    <w:t>LNG由永靖液化厂供应，项目距离液化站约60km，可保证该地区的资源供应，槽车运输</w:t>
                  </w:r>
                </w:p>
              </w:tc>
              <w:tc>
                <w:tcPr>
                  <w:tcW w:w="814" w:type="pct"/>
                  <w:tcBorders>
                    <w:tl2br w:val="nil"/>
                    <w:tr2bl w:val="nil"/>
                  </w:tcBorders>
                  <w:vAlign w:val="center"/>
                </w:tcPr>
                <w:p>
                  <w:pPr>
                    <w:adjustRightInd w:val="0"/>
                    <w:snapToGrid w:val="0"/>
                    <w:spacing w:line="0" w:lineRule="atLeas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由于车流量较少，暂时还未运行，本次不做验收</w:t>
                  </w:r>
                </w:p>
              </w:tc>
            </w:tr>
          </w:tbl>
          <w:p>
            <w:pPr>
              <w:pStyle w:val="21"/>
              <w:spacing w:after="0" w:line="360" w:lineRule="auto"/>
              <w:ind w:left="0" w:leftChars="0" w:firstLine="480" w:firstLineChars="200"/>
              <w:rPr>
                <w:rFonts w:hint="default" w:ascii="Times New Roman" w:hAnsi="Times New Roman" w:eastAsia="宋体" w:cs="Times New Roman"/>
                <w:bCs/>
                <w:color w:val="000000" w:themeColor="text1"/>
                <w:sz w:val="24"/>
                <w:szCs w:val="24"/>
                <w:highlight w:val="none"/>
                <w14:textFill>
                  <w14:solidFill>
                    <w14:schemeClr w14:val="tx1"/>
                  </w14:solidFill>
                </w14:textFill>
              </w:rPr>
            </w:pPr>
            <w:r>
              <w:rPr>
                <w:rFonts w:hint="default" w:ascii="Times New Roman" w:hAnsi="Times New Roman" w:eastAsia="宋体" w:cs="Times New Roman"/>
                <w:bCs/>
                <w:color w:val="000000" w:themeColor="text1"/>
                <w:sz w:val="24"/>
                <w:szCs w:val="24"/>
                <w:highlight w:val="none"/>
                <w14:textFill>
                  <w14:solidFill>
                    <w14:schemeClr w14:val="tx1"/>
                  </w14:solidFill>
                </w14:textFill>
              </w:rPr>
              <w:t>根据现场实际情况调查可知，</w:t>
            </w:r>
            <w:r>
              <w:rPr>
                <w:rFonts w:hint="eastAsia" w:ascii="Times New Roman" w:hAnsi="Times New Roman" w:eastAsia="宋体" w:cs="Times New Roman"/>
                <w:bCs/>
                <w:color w:val="000000" w:themeColor="text1"/>
                <w:sz w:val="24"/>
                <w:szCs w:val="24"/>
                <w:highlight w:val="none"/>
                <w:lang w:eastAsia="zh-CN"/>
                <w14:textFill>
                  <w14:solidFill>
                    <w14:schemeClr w14:val="tx1"/>
                  </w14:solidFill>
                </w14:textFill>
              </w:rPr>
              <w:t>该项目运行时间不久，实际销售量较环评销售量有所降低</w:t>
            </w:r>
            <w:r>
              <w:rPr>
                <w:rFonts w:hint="default" w:ascii="Times New Roman" w:hAnsi="Times New Roman" w:eastAsia="宋体" w:cs="Times New Roman"/>
                <w:bCs/>
                <w:color w:val="000000" w:themeColor="text1"/>
                <w:sz w:val="24"/>
                <w:szCs w:val="24"/>
                <w:highlight w:val="none"/>
                <w14:textFill>
                  <w14:solidFill>
                    <w14:schemeClr w14:val="tx1"/>
                  </w14:solidFill>
                </w14:textFill>
              </w:rPr>
              <w:t>。</w:t>
            </w:r>
          </w:p>
          <w:p>
            <w:pPr>
              <w:spacing w:line="360" w:lineRule="auto"/>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2.7</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水源及水平衡</w:t>
            </w:r>
          </w:p>
          <w:p>
            <w:pPr>
              <w:tabs>
                <w:tab w:val="left" w:pos="5805"/>
              </w:tabs>
              <w:autoSpaceDE w:val="0"/>
              <w:autoSpaceDN w:val="0"/>
              <w:adjustRightInd w:val="0"/>
              <w:snapToGrid w:val="0"/>
              <w:spacing w:line="360" w:lineRule="auto"/>
              <w:ind w:firstLine="480" w:firstLineChars="200"/>
              <w:rPr>
                <w:color w:val="auto"/>
                <w:sz w:val="24"/>
                <w:highlight w:val="none"/>
                <w:lang w:val="zh-CN"/>
              </w:rPr>
            </w:pPr>
            <w:r>
              <w:rPr>
                <w:rFonts w:hint="eastAsia" w:ascii="宋体" w:hAnsi="宋体" w:cs="宋体"/>
                <w:color w:val="auto"/>
                <w:sz w:val="24"/>
                <w:highlight w:val="none"/>
                <w:lang w:val="zh-CN"/>
              </w:rPr>
              <w:t>⑴</w:t>
            </w:r>
            <w:r>
              <w:rPr>
                <w:color w:val="auto"/>
                <w:sz w:val="24"/>
                <w:highlight w:val="none"/>
                <w:lang w:val="zh-CN"/>
              </w:rPr>
              <w:t>给、排水</w:t>
            </w:r>
          </w:p>
          <w:p>
            <w:pPr>
              <w:adjustRightInd w:val="0"/>
              <w:snapToGrid w:val="0"/>
              <w:spacing w:line="360" w:lineRule="auto"/>
              <w:ind w:firstLine="480" w:firstLineChars="200"/>
              <w:rPr>
                <w:color w:val="auto"/>
                <w:sz w:val="24"/>
                <w:highlight w:val="none"/>
              </w:rPr>
            </w:pPr>
            <w:r>
              <w:rPr>
                <w:color w:val="auto"/>
                <w:sz w:val="24"/>
                <w:highlight w:val="none"/>
              </w:rPr>
              <w:t>本项目生产加工过程中不用水，项目用水主要为职工生活用水，用水由</w:t>
            </w:r>
            <w:r>
              <w:rPr>
                <w:rFonts w:hint="eastAsia"/>
                <w:color w:val="auto"/>
                <w:sz w:val="24"/>
                <w:highlight w:val="none"/>
              </w:rPr>
              <w:t>服务区</w:t>
            </w:r>
            <w:r>
              <w:rPr>
                <w:color w:val="auto"/>
                <w:sz w:val="24"/>
                <w:highlight w:val="none"/>
              </w:rPr>
              <w:t>自来水管道提供。</w:t>
            </w:r>
          </w:p>
          <w:p>
            <w:pPr>
              <w:adjustRightInd w:val="0"/>
              <w:snapToGrid w:val="0"/>
              <w:spacing w:line="360" w:lineRule="auto"/>
              <w:ind w:firstLine="480" w:firstLineChars="200"/>
              <w:rPr>
                <w:color w:val="auto"/>
                <w:sz w:val="24"/>
                <w:highlight w:val="none"/>
              </w:rPr>
            </w:pPr>
            <w:r>
              <w:rPr>
                <w:color w:val="auto"/>
                <w:sz w:val="24"/>
                <w:highlight w:val="none"/>
              </w:rPr>
              <w:t>本项目</w:t>
            </w:r>
            <w:r>
              <w:rPr>
                <w:rFonts w:hint="eastAsia"/>
                <w:color w:val="auto"/>
                <w:sz w:val="24"/>
                <w:highlight w:val="none"/>
              </w:rPr>
              <w:t>AB两座加油站总</w:t>
            </w:r>
            <w:r>
              <w:rPr>
                <w:color w:val="auto"/>
                <w:sz w:val="24"/>
                <w:highlight w:val="none"/>
              </w:rPr>
              <w:t>劳动定员</w:t>
            </w:r>
            <w:r>
              <w:rPr>
                <w:rFonts w:hint="eastAsia"/>
                <w:color w:val="auto"/>
                <w:sz w:val="24"/>
                <w:highlight w:val="none"/>
              </w:rPr>
              <w:t>10</w:t>
            </w:r>
            <w:r>
              <w:rPr>
                <w:color w:val="auto"/>
                <w:sz w:val="24"/>
                <w:highlight w:val="none"/>
              </w:rPr>
              <w:t>人，年工作天数为365天。根据《甘肃省行业用水定额（2017版）》，职工生活用水定额按照50L/人·天进行核算，则用水量为</w:t>
            </w:r>
            <w:r>
              <w:rPr>
                <w:rFonts w:hint="eastAsia"/>
                <w:color w:val="auto"/>
                <w:sz w:val="24"/>
                <w:highlight w:val="none"/>
              </w:rPr>
              <w:t>0.5</w:t>
            </w:r>
            <w:r>
              <w:rPr>
                <w:color w:val="auto"/>
                <w:sz w:val="24"/>
                <w:highlight w:val="none"/>
              </w:rPr>
              <w:t>m</w:t>
            </w:r>
            <w:r>
              <w:rPr>
                <w:color w:val="auto"/>
                <w:sz w:val="24"/>
                <w:highlight w:val="none"/>
                <w:vertAlign w:val="superscript"/>
              </w:rPr>
              <w:t>3</w:t>
            </w:r>
            <w:r>
              <w:rPr>
                <w:color w:val="auto"/>
                <w:sz w:val="24"/>
                <w:highlight w:val="none"/>
              </w:rPr>
              <w:t>/d（</w:t>
            </w:r>
            <w:r>
              <w:rPr>
                <w:rFonts w:hint="eastAsia"/>
                <w:color w:val="auto"/>
                <w:sz w:val="24"/>
                <w:highlight w:val="none"/>
              </w:rPr>
              <w:t>182.5</w:t>
            </w:r>
            <w:r>
              <w:rPr>
                <w:color w:val="auto"/>
                <w:sz w:val="24"/>
                <w:highlight w:val="none"/>
              </w:rPr>
              <w:t>m</w:t>
            </w:r>
            <w:r>
              <w:rPr>
                <w:color w:val="auto"/>
                <w:sz w:val="24"/>
                <w:highlight w:val="none"/>
                <w:vertAlign w:val="superscript"/>
              </w:rPr>
              <w:t>3</w:t>
            </w:r>
            <w:r>
              <w:rPr>
                <w:color w:val="auto"/>
                <w:sz w:val="24"/>
                <w:highlight w:val="none"/>
              </w:rPr>
              <w:t>/a）。</w:t>
            </w:r>
          </w:p>
          <w:p>
            <w:pPr>
              <w:adjustRightInd w:val="0"/>
              <w:snapToGrid w:val="0"/>
              <w:spacing w:line="360" w:lineRule="auto"/>
              <w:ind w:firstLine="480" w:firstLineChars="200"/>
              <w:rPr>
                <w:rFonts w:hint="eastAsia"/>
                <w:color w:val="auto"/>
                <w:sz w:val="24"/>
                <w:highlight w:val="none"/>
                <w:lang w:val="en-US" w:eastAsia="zh-CN"/>
              </w:rPr>
            </w:pPr>
            <w:r>
              <w:rPr>
                <w:color w:val="auto"/>
                <w:sz w:val="24"/>
                <w:highlight w:val="none"/>
              </w:rPr>
              <w:t>生活污水排放量按照用水量80%进行核算，则生活污水排水量为</w:t>
            </w:r>
            <w:r>
              <w:rPr>
                <w:rFonts w:hint="eastAsia"/>
                <w:color w:val="auto"/>
                <w:sz w:val="24"/>
                <w:highlight w:val="none"/>
              </w:rPr>
              <w:t>0.4</w:t>
            </w:r>
            <w:r>
              <w:rPr>
                <w:color w:val="auto"/>
                <w:sz w:val="24"/>
                <w:highlight w:val="none"/>
              </w:rPr>
              <w:t>m</w:t>
            </w:r>
            <w:r>
              <w:rPr>
                <w:color w:val="auto"/>
                <w:sz w:val="24"/>
                <w:highlight w:val="none"/>
                <w:vertAlign w:val="superscript"/>
              </w:rPr>
              <w:t>3</w:t>
            </w:r>
            <w:r>
              <w:rPr>
                <w:color w:val="auto"/>
                <w:sz w:val="24"/>
                <w:highlight w:val="none"/>
              </w:rPr>
              <w:t>/d （</w:t>
            </w:r>
            <w:r>
              <w:rPr>
                <w:rFonts w:hint="eastAsia"/>
                <w:color w:val="auto"/>
                <w:sz w:val="24"/>
                <w:highlight w:val="none"/>
              </w:rPr>
              <w:t>146</w:t>
            </w:r>
            <w:r>
              <w:rPr>
                <w:color w:val="auto"/>
                <w:sz w:val="24"/>
                <w:highlight w:val="none"/>
              </w:rPr>
              <w:t>m</w:t>
            </w:r>
            <w:r>
              <w:rPr>
                <w:color w:val="auto"/>
                <w:sz w:val="24"/>
                <w:highlight w:val="none"/>
                <w:vertAlign w:val="superscript"/>
              </w:rPr>
              <w:t>3</w:t>
            </w:r>
            <w:r>
              <w:rPr>
                <w:color w:val="auto"/>
                <w:sz w:val="24"/>
                <w:highlight w:val="none"/>
              </w:rPr>
              <w:t>/a），生活污水经</w:t>
            </w:r>
            <w:r>
              <w:rPr>
                <w:rFonts w:hint="eastAsia"/>
                <w:color w:val="auto"/>
                <w:sz w:val="24"/>
                <w:highlight w:val="none"/>
              </w:rPr>
              <w:t>各自站区的1座</w:t>
            </w:r>
            <w:r>
              <w:rPr>
                <w:color w:val="auto"/>
                <w:sz w:val="24"/>
                <w:highlight w:val="none"/>
              </w:rPr>
              <w:t>10m</w:t>
            </w:r>
            <w:r>
              <w:rPr>
                <w:rFonts w:hint="eastAsia"/>
                <w:color w:val="auto"/>
                <w:sz w:val="24"/>
                <w:highlight w:val="none"/>
                <w:vertAlign w:val="superscript"/>
                <w:lang w:val="en-US" w:eastAsia="zh-CN"/>
              </w:rPr>
              <w:t>3</w:t>
            </w:r>
            <w:r>
              <w:rPr>
                <w:color w:val="auto"/>
                <w:sz w:val="24"/>
                <w:highlight w:val="none"/>
              </w:rPr>
              <w:t>化粪池预处理</w:t>
            </w:r>
            <w:r>
              <w:rPr>
                <w:rFonts w:hint="eastAsia"/>
                <w:color w:val="auto"/>
                <w:sz w:val="24"/>
                <w:highlight w:val="none"/>
              </w:rPr>
              <w:t>后排入服务区污水管网；</w:t>
            </w:r>
            <w:r>
              <w:rPr>
                <w:color w:val="auto"/>
                <w:sz w:val="24"/>
                <w:highlight w:val="none"/>
              </w:rPr>
              <w:t>绿化用水全部蒸发消耗，无外排</w:t>
            </w:r>
            <w:r>
              <w:rPr>
                <w:rFonts w:hint="eastAsia"/>
                <w:color w:val="auto"/>
                <w:sz w:val="24"/>
                <w:highlight w:val="none"/>
                <w:lang w:eastAsia="zh-CN"/>
              </w:rPr>
              <w:t>，</w:t>
            </w:r>
            <w:r>
              <w:rPr>
                <w:color w:val="auto"/>
                <w:sz w:val="24"/>
                <w:highlight w:val="none"/>
              </w:rPr>
              <w:t>项目废水排放量为</w:t>
            </w:r>
            <w:r>
              <w:rPr>
                <w:rFonts w:hint="eastAsia"/>
                <w:color w:val="auto"/>
                <w:sz w:val="24"/>
                <w:highlight w:val="none"/>
              </w:rPr>
              <w:t>0.4</w:t>
            </w:r>
            <w:r>
              <w:rPr>
                <w:color w:val="auto"/>
                <w:sz w:val="24"/>
                <w:highlight w:val="none"/>
              </w:rPr>
              <w:t>m</w:t>
            </w:r>
            <w:r>
              <w:rPr>
                <w:color w:val="auto"/>
                <w:sz w:val="24"/>
                <w:highlight w:val="none"/>
                <w:vertAlign w:val="superscript"/>
              </w:rPr>
              <w:t>3</w:t>
            </w:r>
            <w:r>
              <w:rPr>
                <w:color w:val="auto"/>
                <w:sz w:val="24"/>
                <w:highlight w:val="none"/>
              </w:rPr>
              <w:t>/d</w:t>
            </w:r>
            <w:r>
              <w:rPr>
                <w:rFonts w:hint="eastAsia"/>
                <w:color w:val="auto"/>
                <w:sz w:val="24"/>
                <w:highlight w:val="none"/>
                <w:lang w:eastAsia="zh-CN"/>
              </w:rPr>
              <w:t>。</w:t>
            </w:r>
            <w:r>
              <w:rPr>
                <w:rFonts w:hint="eastAsia"/>
                <w:color w:val="auto"/>
                <w:sz w:val="24"/>
                <w:highlight w:val="none"/>
                <w:lang w:val="en-US" w:eastAsia="zh-CN"/>
              </w:rPr>
              <w:t>本项目给排水与环评阶段一致。</w:t>
            </w:r>
          </w:p>
          <w:p>
            <w:pPr>
              <w:adjustRightInd w:val="0"/>
              <w:snapToGrid w:val="0"/>
              <w:spacing w:line="360" w:lineRule="auto"/>
              <w:ind w:firstLine="480" w:firstLineChars="200"/>
              <w:rPr>
                <w:color w:val="auto"/>
                <w:sz w:val="24"/>
                <w:highlight w:val="none"/>
              </w:rPr>
            </w:pPr>
            <w:r>
              <w:rPr>
                <w:color w:val="auto"/>
                <w:sz w:val="24"/>
                <w:highlight w:val="none"/>
              </w:rPr>
              <w:t>本项目给排水水平衡表见表</w:t>
            </w:r>
            <w:r>
              <w:rPr>
                <w:rFonts w:hint="eastAsia"/>
                <w:color w:val="auto"/>
                <w:sz w:val="24"/>
                <w:highlight w:val="none"/>
                <w:lang w:val="en-US" w:eastAsia="zh-CN"/>
              </w:rPr>
              <w:t>2-5</w:t>
            </w:r>
            <w:r>
              <w:rPr>
                <w:color w:val="auto"/>
                <w:sz w:val="24"/>
                <w:highlight w:val="none"/>
              </w:rPr>
              <w:t>、水平衡见图</w:t>
            </w:r>
            <w:r>
              <w:rPr>
                <w:rFonts w:hint="eastAsia"/>
                <w:color w:val="auto"/>
                <w:sz w:val="24"/>
                <w:highlight w:val="none"/>
                <w:lang w:val="en-US" w:eastAsia="zh-CN"/>
              </w:rPr>
              <w:t>2-1</w:t>
            </w:r>
            <w:r>
              <w:rPr>
                <w:color w:val="auto"/>
                <w:sz w:val="24"/>
                <w:highlight w:val="none"/>
              </w:rPr>
              <w:t>。</w:t>
            </w:r>
          </w:p>
          <w:p>
            <w:pPr>
              <w:adjustRightInd w:val="0"/>
              <w:snapToGrid w:val="0"/>
              <w:spacing w:line="360" w:lineRule="auto"/>
              <w:jc w:val="center"/>
              <w:rPr>
                <w:rFonts w:hint="default" w:ascii="Times New Roman" w:hAnsi="Times New Roman" w:eastAsia="宋体" w:cs="Times New Roman"/>
                <w:b/>
                <w:bCs w:val="0"/>
                <w:color w:val="auto"/>
                <w:sz w:val="24"/>
                <w:highlight w:val="none"/>
              </w:rPr>
            </w:pPr>
            <w:r>
              <w:rPr>
                <w:rFonts w:hint="default" w:ascii="Times New Roman" w:hAnsi="Times New Roman" w:eastAsia="宋体" w:cs="Times New Roman"/>
                <w:b/>
                <w:bCs w:val="0"/>
                <w:color w:val="auto"/>
                <w:sz w:val="24"/>
                <w:highlight w:val="none"/>
              </w:rPr>
              <w:t>表</w:t>
            </w:r>
            <w:r>
              <w:rPr>
                <w:rFonts w:hint="default" w:ascii="Times New Roman" w:hAnsi="Times New Roman" w:eastAsia="宋体" w:cs="Times New Roman"/>
                <w:b/>
                <w:bCs w:val="0"/>
                <w:color w:val="auto"/>
                <w:sz w:val="24"/>
                <w:highlight w:val="none"/>
                <w:lang w:val="en-US" w:eastAsia="zh-CN"/>
              </w:rPr>
              <w:t>2-5</w:t>
            </w:r>
            <w:r>
              <w:rPr>
                <w:rFonts w:hint="default" w:ascii="Times New Roman" w:hAnsi="Times New Roman" w:eastAsia="宋体" w:cs="Times New Roman"/>
                <w:b/>
                <w:bCs w:val="0"/>
                <w:color w:val="auto"/>
                <w:sz w:val="24"/>
                <w:highlight w:val="none"/>
              </w:rPr>
              <w:t xml:space="preserve">    项目给排水情况一览表   单位：m</w:t>
            </w:r>
            <w:r>
              <w:rPr>
                <w:rFonts w:hint="default" w:ascii="Times New Roman" w:hAnsi="Times New Roman" w:eastAsia="宋体" w:cs="Times New Roman"/>
                <w:b/>
                <w:bCs w:val="0"/>
                <w:color w:val="auto"/>
                <w:sz w:val="24"/>
                <w:highlight w:val="none"/>
                <w:vertAlign w:val="superscript"/>
              </w:rPr>
              <w:t>3</w:t>
            </w:r>
            <w:r>
              <w:rPr>
                <w:rFonts w:hint="default" w:ascii="Times New Roman" w:hAnsi="Times New Roman" w:eastAsia="宋体" w:cs="Times New Roman"/>
                <w:b/>
                <w:bCs w:val="0"/>
                <w:color w:val="auto"/>
                <w:sz w:val="24"/>
                <w:highlight w:val="none"/>
              </w:rPr>
              <w:t>/d</w:t>
            </w:r>
          </w:p>
          <w:tbl>
            <w:tblPr>
              <w:tblStyle w:val="22"/>
              <w:tblW w:w="8538"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563"/>
              <w:gridCol w:w="863"/>
              <w:gridCol w:w="1625"/>
              <w:gridCol w:w="1625"/>
              <w:gridCol w:w="1490"/>
              <w:gridCol w:w="1258"/>
              <w:gridCol w:w="1114"/>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51" w:hRule="atLeast"/>
                <w:jc w:val="center"/>
              </w:trPr>
              <w:tc>
                <w:tcPr>
                  <w:tcW w:w="563" w:type="dxa"/>
                  <w:vAlign w:val="center"/>
                </w:tcPr>
                <w:p>
                  <w:pPr>
                    <w:autoSpaceDE w:val="0"/>
                    <w:autoSpaceDN w:val="0"/>
                    <w:spacing w:line="0" w:lineRule="atLeast"/>
                    <w:jc w:val="center"/>
                    <w:rPr>
                      <w:color w:val="auto"/>
                      <w:szCs w:val="21"/>
                      <w:highlight w:val="none"/>
                    </w:rPr>
                  </w:pPr>
                  <w:r>
                    <w:rPr>
                      <w:color w:val="auto"/>
                      <w:szCs w:val="21"/>
                      <w:highlight w:val="none"/>
                    </w:rPr>
                    <w:t>序号</w:t>
                  </w:r>
                </w:p>
              </w:tc>
              <w:tc>
                <w:tcPr>
                  <w:tcW w:w="863" w:type="dxa"/>
                  <w:vAlign w:val="center"/>
                </w:tcPr>
                <w:p>
                  <w:pPr>
                    <w:autoSpaceDE w:val="0"/>
                    <w:autoSpaceDN w:val="0"/>
                    <w:spacing w:line="0" w:lineRule="atLeast"/>
                    <w:jc w:val="center"/>
                    <w:rPr>
                      <w:color w:val="auto"/>
                      <w:szCs w:val="21"/>
                      <w:highlight w:val="none"/>
                    </w:rPr>
                  </w:pPr>
                  <w:r>
                    <w:rPr>
                      <w:color w:val="auto"/>
                      <w:szCs w:val="21"/>
                      <w:highlight w:val="none"/>
                    </w:rPr>
                    <w:t>用水部</w:t>
                  </w:r>
                </w:p>
              </w:tc>
              <w:tc>
                <w:tcPr>
                  <w:tcW w:w="1625" w:type="dxa"/>
                  <w:vAlign w:val="center"/>
                </w:tcPr>
                <w:p>
                  <w:pPr>
                    <w:autoSpaceDE w:val="0"/>
                    <w:autoSpaceDN w:val="0"/>
                    <w:spacing w:line="0" w:lineRule="atLeast"/>
                    <w:jc w:val="center"/>
                    <w:rPr>
                      <w:color w:val="auto"/>
                      <w:szCs w:val="21"/>
                      <w:highlight w:val="none"/>
                    </w:rPr>
                  </w:pPr>
                  <w:r>
                    <w:rPr>
                      <w:color w:val="auto"/>
                      <w:szCs w:val="21"/>
                      <w:highlight w:val="none"/>
                    </w:rPr>
                    <w:t>日用水量(m</w:t>
                  </w:r>
                  <w:r>
                    <w:rPr>
                      <w:color w:val="auto"/>
                      <w:szCs w:val="21"/>
                      <w:highlight w:val="none"/>
                      <w:vertAlign w:val="superscript"/>
                    </w:rPr>
                    <w:t>3</w:t>
                  </w:r>
                  <w:r>
                    <w:rPr>
                      <w:rFonts w:hint="eastAsia"/>
                      <w:color w:val="auto"/>
                      <w:szCs w:val="21"/>
                      <w:highlight w:val="none"/>
                    </w:rPr>
                    <w:t>/</w:t>
                  </w:r>
                  <w:r>
                    <w:rPr>
                      <w:color w:val="auto"/>
                      <w:szCs w:val="21"/>
                      <w:highlight w:val="none"/>
                    </w:rPr>
                    <w:t>d)</w:t>
                  </w:r>
                </w:p>
              </w:tc>
              <w:tc>
                <w:tcPr>
                  <w:tcW w:w="1625" w:type="dxa"/>
                  <w:vAlign w:val="center"/>
                </w:tcPr>
                <w:p>
                  <w:pPr>
                    <w:autoSpaceDE w:val="0"/>
                    <w:autoSpaceDN w:val="0"/>
                    <w:spacing w:line="0" w:lineRule="atLeast"/>
                    <w:jc w:val="center"/>
                    <w:rPr>
                      <w:color w:val="auto"/>
                      <w:szCs w:val="21"/>
                      <w:highlight w:val="none"/>
                    </w:rPr>
                  </w:pPr>
                  <w:r>
                    <w:rPr>
                      <w:rFonts w:hint="eastAsia"/>
                      <w:color w:val="auto"/>
                      <w:szCs w:val="21"/>
                      <w:highlight w:val="none"/>
                    </w:rPr>
                    <w:t>损</w:t>
                  </w:r>
                  <w:r>
                    <w:rPr>
                      <w:color w:val="auto"/>
                      <w:szCs w:val="21"/>
                      <w:highlight w:val="none"/>
                    </w:rPr>
                    <w:t>耗量(m</w:t>
                  </w:r>
                  <w:r>
                    <w:rPr>
                      <w:color w:val="auto"/>
                      <w:szCs w:val="21"/>
                      <w:highlight w:val="none"/>
                      <w:vertAlign w:val="superscript"/>
                    </w:rPr>
                    <w:t>3</w:t>
                  </w:r>
                  <w:r>
                    <w:rPr>
                      <w:color w:val="auto"/>
                      <w:szCs w:val="21"/>
                      <w:highlight w:val="none"/>
                    </w:rPr>
                    <w:t>/</w:t>
                  </w:r>
                  <w:r>
                    <w:rPr>
                      <w:color w:val="auto"/>
                      <w:szCs w:val="21"/>
                      <w:highlight w:val="none"/>
                    </w:rPr>
                    <w:cr/>
                  </w:r>
                  <w:r>
                    <w:rPr>
                      <w:color w:val="auto"/>
                      <w:szCs w:val="21"/>
                      <w:highlight w:val="none"/>
                    </w:rPr>
                    <w:t>)</w:t>
                  </w:r>
                </w:p>
              </w:tc>
              <w:tc>
                <w:tcPr>
                  <w:tcW w:w="1490" w:type="dxa"/>
                  <w:vAlign w:val="center"/>
                </w:tcPr>
                <w:p>
                  <w:pPr>
                    <w:autoSpaceDE w:val="0"/>
                    <w:autoSpaceDN w:val="0"/>
                    <w:spacing w:line="0" w:lineRule="atLeast"/>
                    <w:jc w:val="center"/>
                    <w:rPr>
                      <w:color w:val="auto"/>
                      <w:szCs w:val="21"/>
                      <w:highlight w:val="none"/>
                    </w:rPr>
                  </w:pPr>
                  <w:r>
                    <w:rPr>
                      <w:color w:val="auto"/>
                      <w:szCs w:val="21"/>
                      <w:highlight w:val="none"/>
                    </w:rPr>
                    <w:t>排水量(m</w:t>
                  </w:r>
                  <w:r>
                    <w:rPr>
                      <w:color w:val="auto"/>
                      <w:szCs w:val="21"/>
                      <w:highlight w:val="none"/>
                      <w:vertAlign w:val="superscript"/>
                    </w:rPr>
                    <w:t>3</w:t>
                  </w:r>
                  <w:r>
                    <w:rPr>
                      <w:color w:val="auto"/>
                      <w:szCs w:val="21"/>
                      <w:highlight w:val="none"/>
                    </w:rPr>
                    <w:t>/d)</w:t>
                  </w:r>
                </w:p>
              </w:tc>
              <w:tc>
                <w:tcPr>
                  <w:tcW w:w="1258" w:type="dxa"/>
                  <w:vAlign w:val="center"/>
                </w:tcPr>
                <w:p>
                  <w:pPr>
                    <w:autoSpaceDE w:val="0"/>
                    <w:autoSpaceDN w:val="0"/>
                    <w:spacing w:line="0" w:lineRule="atLeast"/>
                    <w:jc w:val="center"/>
                    <w:rPr>
                      <w:color w:val="auto"/>
                      <w:szCs w:val="21"/>
                      <w:highlight w:val="none"/>
                    </w:rPr>
                  </w:pPr>
                  <w:r>
                    <w:rPr>
                      <w:color w:val="auto"/>
                      <w:szCs w:val="21"/>
                      <w:highlight w:val="none"/>
                    </w:rPr>
                    <w:t>排水量(m</w:t>
                  </w:r>
                  <w:r>
                    <w:rPr>
                      <w:color w:val="auto"/>
                      <w:szCs w:val="21"/>
                      <w:highlight w:val="none"/>
                      <w:vertAlign w:val="superscript"/>
                    </w:rPr>
                    <w:t>3</w:t>
                  </w:r>
                  <w:r>
                    <w:rPr>
                      <w:color w:val="auto"/>
                      <w:szCs w:val="21"/>
                      <w:highlight w:val="none"/>
                    </w:rPr>
                    <w:t>/</w:t>
                  </w:r>
                  <w:r>
                    <w:rPr>
                      <w:rFonts w:hint="eastAsia"/>
                      <w:color w:val="auto"/>
                      <w:szCs w:val="21"/>
                      <w:highlight w:val="none"/>
                    </w:rPr>
                    <w:t>a</w:t>
                  </w:r>
                  <w:r>
                    <w:rPr>
                      <w:color w:val="auto"/>
                      <w:szCs w:val="21"/>
                      <w:highlight w:val="none"/>
                    </w:rPr>
                    <w:t>)</w:t>
                  </w:r>
                </w:p>
              </w:tc>
              <w:tc>
                <w:tcPr>
                  <w:tcW w:w="1114" w:type="dxa"/>
                  <w:vAlign w:val="center"/>
                </w:tcPr>
                <w:p>
                  <w:pPr>
                    <w:autoSpaceDE w:val="0"/>
                    <w:autoSpaceDN w:val="0"/>
                    <w:spacing w:line="0" w:lineRule="atLeast"/>
                    <w:jc w:val="center"/>
                    <w:rPr>
                      <w:color w:val="auto"/>
                      <w:szCs w:val="21"/>
                      <w:highlight w:val="none"/>
                    </w:rPr>
                  </w:pPr>
                  <w:r>
                    <w:rPr>
                      <w:color w:val="auto"/>
                      <w:szCs w:val="21"/>
                      <w:highlight w:val="none"/>
                    </w:rPr>
                    <w:t>备注</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27" w:hRule="atLeast"/>
                <w:jc w:val="center"/>
              </w:trPr>
              <w:tc>
                <w:tcPr>
                  <w:tcW w:w="563" w:type="dxa"/>
                  <w:vAlign w:val="center"/>
                </w:tcPr>
                <w:p>
                  <w:pPr>
                    <w:autoSpaceDE w:val="0"/>
                    <w:autoSpaceDN w:val="0"/>
                    <w:spacing w:line="0" w:lineRule="atLeast"/>
                    <w:jc w:val="center"/>
                    <w:rPr>
                      <w:color w:val="auto"/>
                      <w:szCs w:val="21"/>
                      <w:highlight w:val="none"/>
                    </w:rPr>
                  </w:pPr>
                  <w:r>
                    <w:rPr>
                      <w:color w:val="auto"/>
                      <w:szCs w:val="21"/>
                      <w:highlight w:val="none"/>
                    </w:rPr>
                    <w:t>1</w:t>
                  </w:r>
                </w:p>
              </w:tc>
              <w:tc>
                <w:tcPr>
                  <w:tcW w:w="863" w:type="dxa"/>
                  <w:vAlign w:val="center"/>
                </w:tcPr>
                <w:p>
                  <w:pPr>
                    <w:autoSpaceDE w:val="0"/>
                    <w:autoSpaceDN w:val="0"/>
                    <w:spacing w:line="0" w:lineRule="atLeast"/>
                    <w:rPr>
                      <w:color w:val="auto"/>
                      <w:szCs w:val="21"/>
                      <w:highlight w:val="none"/>
                    </w:rPr>
                  </w:pPr>
                  <w:r>
                    <w:rPr>
                      <w:color w:val="auto"/>
                      <w:szCs w:val="21"/>
                      <w:highlight w:val="none"/>
                    </w:rPr>
                    <w:t>生活用水</w:t>
                  </w:r>
                </w:p>
              </w:tc>
              <w:tc>
                <w:tcPr>
                  <w:tcW w:w="1625" w:type="dxa"/>
                  <w:vAlign w:val="center"/>
                </w:tcPr>
                <w:p>
                  <w:pPr>
                    <w:jc w:val="center"/>
                    <w:textAlignment w:val="center"/>
                    <w:rPr>
                      <w:color w:val="auto"/>
                      <w:szCs w:val="21"/>
                      <w:highlight w:val="none"/>
                    </w:rPr>
                  </w:pPr>
                  <w:r>
                    <w:rPr>
                      <w:rFonts w:hint="eastAsia"/>
                      <w:color w:val="auto"/>
                      <w:szCs w:val="21"/>
                      <w:highlight w:val="none"/>
                    </w:rPr>
                    <w:t>0.5</w:t>
                  </w:r>
                </w:p>
              </w:tc>
              <w:tc>
                <w:tcPr>
                  <w:tcW w:w="1625" w:type="dxa"/>
                  <w:vAlign w:val="center"/>
                </w:tcPr>
                <w:p>
                  <w:pPr>
                    <w:jc w:val="center"/>
                    <w:textAlignment w:val="center"/>
                    <w:rPr>
                      <w:color w:val="auto"/>
                      <w:szCs w:val="21"/>
                      <w:highlight w:val="none"/>
                    </w:rPr>
                  </w:pPr>
                  <w:r>
                    <w:rPr>
                      <w:rFonts w:hint="eastAsia"/>
                      <w:color w:val="auto"/>
                      <w:szCs w:val="21"/>
                      <w:highlight w:val="none"/>
                    </w:rPr>
                    <w:t>0.1</w:t>
                  </w:r>
                </w:p>
              </w:tc>
              <w:tc>
                <w:tcPr>
                  <w:tcW w:w="1490" w:type="dxa"/>
                  <w:vAlign w:val="center"/>
                </w:tcPr>
                <w:p>
                  <w:pPr>
                    <w:jc w:val="center"/>
                    <w:textAlignment w:val="center"/>
                    <w:rPr>
                      <w:color w:val="auto"/>
                      <w:szCs w:val="21"/>
                      <w:highlight w:val="none"/>
                    </w:rPr>
                  </w:pPr>
                  <w:r>
                    <w:rPr>
                      <w:rFonts w:hint="eastAsia"/>
                      <w:color w:val="auto"/>
                      <w:szCs w:val="21"/>
                      <w:highlight w:val="none"/>
                    </w:rPr>
                    <w:t>0.4</w:t>
                  </w:r>
                </w:p>
              </w:tc>
              <w:tc>
                <w:tcPr>
                  <w:tcW w:w="1258" w:type="dxa"/>
                  <w:vAlign w:val="center"/>
                </w:tcPr>
                <w:p>
                  <w:pPr>
                    <w:jc w:val="center"/>
                    <w:textAlignment w:val="center"/>
                    <w:rPr>
                      <w:color w:val="auto"/>
                      <w:szCs w:val="21"/>
                      <w:highlight w:val="none"/>
                    </w:rPr>
                  </w:pPr>
                  <w:r>
                    <w:rPr>
                      <w:rFonts w:hint="eastAsia"/>
                      <w:color w:val="auto"/>
                      <w:szCs w:val="21"/>
                      <w:highlight w:val="none"/>
                    </w:rPr>
                    <w:t>146</w:t>
                  </w:r>
                </w:p>
              </w:tc>
              <w:tc>
                <w:tcPr>
                  <w:tcW w:w="1114" w:type="dxa"/>
                  <w:vMerge w:val="restart"/>
                  <w:vAlign w:val="center"/>
                </w:tcPr>
                <w:p>
                  <w:pPr>
                    <w:autoSpaceDE w:val="0"/>
                    <w:autoSpaceDN w:val="0"/>
                    <w:spacing w:line="0" w:lineRule="atLeast"/>
                    <w:jc w:val="center"/>
                    <w:rPr>
                      <w:color w:val="auto"/>
                      <w:szCs w:val="21"/>
                      <w:highlight w:val="none"/>
                    </w:rPr>
                  </w:pPr>
                  <w:r>
                    <w:rPr>
                      <w:color w:val="auto"/>
                      <w:szCs w:val="21"/>
                      <w:highlight w:val="none"/>
                    </w:rPr>
                    <w:t>365天计算</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27" w:hRule="atLeast"/>
                <w:jc w:val="center"/>
              </w:trPr>
              <w:tc>
                <w:tcPr>
                  <w:tcW w:w="563" w:type="dxa"/>
                  <w:vAlign w:val="center"/>
                </w:tcPr>
                <w:p>
                  <w:pPr>
                    <w:autoSpaceDE w:val="0"/>
                    <w:autoSpaceDN w:val="0"/>
                    <w:spacing w:line="0" w:lineRule="atLeast"/>
                    <w:jc w:val="center"/>
                    <w:rPr>
                      <w:color w:val="auto"/>
                      <w:szCs w:val="21"/>
                      <w:highlight w:val="none"/>
                    </w:rPr>
                  </w:pPr>
                  <w:r>
                    <w:rPr>
                      <w:rFonts w:hint="eastAsia"/>
                      <w:color w:val="auto"/>
                      <w:szCs w:val="21"/>
                      <w:highlight w:val="none"/>
                    </w:rPr>
                    <w:t>2</w:t>
                  </w:r>
                </w:p>
              </w:tc>
              <w:tc>
                <w:tcPr>
                  <w:tcW w:w="863" w:type="dxa"/>
                  <w:vAlign w:val="center"/>
                </w:tcPr>
                <w:p>
                  <w:pPr>
                    <w:autoSpaceDE w:val="0"/>
                    <w:autoSpaceDN w:val="0"/>
                    <w:spacing w:line="0" w:lineRule="atLeast"/>
                    <w:rPr>
                      <w:color w:val="auto"/>
                      <w:szCs w:val="21"/>
                      <w:highlight w:val="none"/>
                    </w:rPr>
                  </w:pPr>
                  <w:r>
                    <w:rPr>
                      <w:rFonts w:hint="eastAsia"/>
                      <w:color w:val="auto"/>
                      <w:szCs w:val="21"/>
                      <w:highlight w:val="none"/>
                    </w:rPr>
                    <w:t>绿化用水</w:t>
                  </w:r>
                </w:p>
              </w:tc>
              <w:tc>
                <w:tcPr>
                  <w:tcW w:w="1625" w:type="dxa"/>
                  <w:vAlign w:val="center"/>
                </w:tcPr>
                <w:p>
                  <w:pPr>
                    <w:jc w:val="center"/>
                    <w:textAlignment w:val="center"/>
                    <w:rPr>
                      <w:color w:val="auto"/>
                      <w:szCs w:val="21"/>
                      <w:highlight w:val="none"/>
                    </w:rPr>
                  </w:pPr>
                  <w:r>
                    <w:rPr>
                      <w:rFonts w:hint="eastAsia"/>
                      <w:color w:val="auto"/>
                      <w:szCs w:val="21"/>
                      <w:highlight w:val="none"/>
                    </w:rPr>
                    <w:t>0.1</w:t>
                  </w:r>
                </w:p>
              </w:tc>
              <w:tc>
                <w:tcPr>
                  <w:tcW w:w="1625" w:type="dxa"/>
                  <w:vAlign w:val="center"/>
                </w:tcPr>
                <w:p>
                  <w:pPr>
                    <w:jc w:val="center"/>
                    <w:textAlignment w:val="center"/>
                    <w:rPr>
                      <w:color w:val="auto"/>
                      <w:szCs w:val="21"/>
                      <w:highlight w:val="none"/>
                    </w:rPr>
                  </w:pPr>
                  <w:r>
                    <w:rPr>
                      <w:rFonts w:hint="eastAsia"/>
                      <w:color w:val="auto"/>
                      <w:szCs w:val="21"/>
                      <w:highlight w:val="none"/>
                    </w:rPr>
                    <w:t>0.1</w:t>
                  </w:r>
                </w:p>
              </w:tc>
              <w:tc>
                <w:tcPr>
                  <w:tcW w:w="1490" w:type="dxa"/>
                  <w:vAlign w:val="center"/>
                </w:tcPr>
                <w:p>
                  <w:pPr>
                    <w:jc w:val="center"/>
                    <w:textAlignment w:val="center"/>
                    <w:rPr>
                      <w:color w:val="auto"/>
                      <w:szCs w:val="21"/>
                      <w:highlight w:val="none"/>
                    </w:rPr>
                  </w:pPr>
                  <w:r>
                    <w:rPr>
                      <w:rFonts w:hint="eastAsia"/>
                      <w:color w:val="auto"/>
                      <w:szCs w:val="21"/>
                      <w:highlight w:val="none"/>
                    </w:rPr>
                    <w:t>0</w:t>
                  </w:r>
                </w:p>
              </w:tc>
              <w:tc>
                <w:tcPr>
                  <w:tcW w:w="1258" w:type="dxa"/>
                  <w:vAlign w:val="center"/>
                </w:tcPr>
                <w:p>
                  <w:pPr>
                    <w:jc w:val="center"/>
                    <w:textAlignment w:val="center"/>
                    <w:rPr>
                      <w:color w:val="auto"/>
                      <w:szCs w:val="21"/>
                      <w:highlight w:val="none"/>
                    </w:rPr>
                  </w:pPr>
                  <w:r>
                    <w:rPr>
                      <w:rFonts w:hint="eastAsia"/>
                      <w:color w:val="auto"/>
                      <w:szCs w:val="21"/>
                      <w:highlight w:val="none"/>
                    </w:rPr>
                    <w:t>36.5</w:t>
                  </w:r>
                </w:p>
              </w:tc>
              <w:tc>
                <w:tcPr>
                  <w:tcW w:w="1114" w:type="dxa"/>
                  <w:vMerge w:val="continue"/>
                  <w:vAlign w:val="center"/>
                </w:tcPr>
                <w:p>
                  <w:pPr>
                    <w:autoSpaceDE w:val="0"/>
                    <w:autoSpaceDN w:val="0"/>
                    <w:spacing w:line="0" w:lineRule="atLeast"/>
                    <w:jc w:val="center"/>
                    <w:rPr>
                      <w:color w:val="auto"/>
                      <w:szCs w:val="21"/>
                      <w:highlight w:val="none"/>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85" w:hRule="atLeast"/>
                <w:jc w:val="center"/>
              </w:trPr>
              <w:tc>
                <w:tcPr>
                  <w:tcW w:w="1426" w:type="dxa"/>
                  <w:gridSpan w:val="2"/>
                  <w:vAlign w:val="center"/>
                </w:tcPr>
                <w:p>
                  <w:pPr>
                    <w:autoSpaceDE w:val="0"/>
                    <w:autoSpaceDN w:val="0"/>
                    <w:spacing w:line="0" w:lineRule="atLeast"/>
                    <w:jc w:val="center"/>
                    <w:rPr>
                      <w:color w:val="auto"/>
                      <w:szCs w:val="21"/>
                      <w:highlight w:val="none"/>
                    </w:rPr>
                  </w:pPr>
                  <w:r>
                    <w:rPr>
                      <w:color w:val="auto"/>
                      <w:szCs w:val="21"/>
                      <w:highlight w:val="none"/>
                    </w:rPr>
                    <w:t>合计</w:t>
                  </w:r>
                </w:p>
              </w:tc>
              <w:tc>
                <w:tcPr>
                  <w:tcW w:w="1625" w:type="dxa"/>
                  <w:vAlign w:val="center"/>
                </w:tcPr>
                <w:p>
                  <w:pPr>
                    <w:jc w:val="center"/>
                    <w:textAlignment w:val="center"/>
                    <w:rPr>
                      <w:color w:val="auto"/>
                      <w:szCs w:val="21"/>
                      <w:highlight w:val="none"/>
                    </w:rPr>
                  </w:pPr>
                  <w:r>
                    <w:rPr>
                      <w:rFonts w:hint="eastAsia"/>
                      <w:color w:val="auto"/>
                      <w:szCs w:val="21"/>
                      <w:highlight w:val="none"/>
                    </w:rPr>
                    <w:t>0.6</w:t>
                  </w:r>
                </w:p>
              </w:tc>
              <w:tc>
                <w:tcPr>
                  <w:tcW w:w="1625" w:type="dxa"/>
                  <w:vAlign w:val="center"/>
                </w:tcPr>
                <w:p>
                  <w:pPr>
                    <w:jc w:val="center"/>
                    <w:textAlignment w:val="center"/>
                    <w:rPr>
                      <w:color w:val="auto"/>
                      <w:szCs w:val="21"/>
                      <w:highlight w:val="none"/>
                    </w:rPr>
                  </w:pPr>
                  <w:r>
                    <w:rPr>
                      <w:rFonts w:hint="eastAsia"/>
                      <w:color w:val="auto"/>
                      <w:szCs w:val="21"/>
                      <w:highlight w:val="none"/>
                    </w:rPr>
                    <w:t>0.2</w:t>
                  </w:r>
                </w:p>
              </w:tc>
              <w:tc>
                <w:tcPr>
                  <w:tcW w:w="1490" w:type="dxa"/>
                  <w:vAlign w:val="center"/>
                </w:tcPr>
                <w:p>
                  <w:pPr>
                    <w:jc w:val="center"/>
                    <w:textAlignment w:val="center"/>
                    <w:rPr>
                      <w:color w:val="auto"/>
                      <w:szCs w:val="21"/>
                      <w:highlight w:val="none"/>
                    </w:rPr>
                  </w:pPr>
                  <w:r>
                    <w:rPr>
                      <w:rFonts w:hint="eastAsia"/>
                      <w:color w:val="auto"/>
                      <w:szCs w:val="21"/>
                      <w:highlight w:val="none"/>
                    </w:rPr>
                    <w:t>0.4</w:t>
                  </w:r>
                </w:p>
              </w:tc>
              <w:tc>
                <w:tcPr>
                  <w:tcW w:w="1258" w:type="dxa"/>
                  <w:vAlign w:val="center"/>
                </w:tcPr>
                <w:p>
                  <w:pPr>
                    <w:jc w:val="center"/>
                    <w:textAlignment w:val="center"/>
                    <w:rPr>
                      <w:color w:val="auto"/>
                      <w:szCs w:val="21"/>
                      <w:highlight w:val="none"/>
                    </w:rPr>
                  </w:pPr>
                  <w:r>
                    <w:rPr>
                      <w:rFonts w:hint="eastAsia"/>
                      <w:color w:val="auto"/>
                      <w:szCs w:val="21"/>
                      <w:highlight w:val="none"/>
                    </w:rPr>
                    <w:t>182.5</w:t>
                  </w:r>
                </w:p>
              </w:tc>
              <w:tc>
                <w:tcPr>
                  <w:tcW w:w="1114" w:type="dxa"/>
                  <w:vMerge w:val="continue"/>
                  <w:vAlign w:val="center"/>
                </w:tcPr>
                <w:p>
                  <w:pPr>
                    <w:autoSpaceDE w:val="0"/>
                    <w:autoSpaceDN w:val="0"/>
                    <w:spacing w:line="0" w:lineRule="atLeast"/>
                    <w:jc w:val="center"/>
                    <w:rPr>
                      <w:color w:val="auto"/>
                      <w:szCs w:val="21"/>
                      <w:highlight w:val="none"/>
                    </w:rPr>
                  </w:pPr>
                </w:p>
              </w:tc>
            </w:tr>
          </w:tbl>
          <w:p>
            <w:pPr>
              <w:jc w:val="center"/>
              <w:rPr>
                <w:b/>
                <w:color w:val="FF0000"/>
                <w:szCs w:val="21"/>
                <w:highlight w:val="none"/>
              </w:rPr>
            </w:pPr>
            <w:r>
              <w:rPr>
                <w:color w:val="FF0000"/>
                <w:highlight w:val="none"/>
              </w:rPr>
              <w:object>
                <v:shape id="_x0000_i1025" o:spt="75" type="#_x0000_t75" style="height:120pt;width:352.5pt;" o:ole="t" filled="f" o:preferrelative="t" stroked="f" coordsize="21600,21600">
                  <v:path/>
                  <v:fill on="f" focussize="0,0"/>
                  <v:stroke on="f" joinstyle="miter"/>
                  <v:imagedata r:id="rId24" o:title=""/>
                  <o:lock v:ext="edit" aspectratio="t"/>
                  <w10:wrap type="none"/>
                  <w10:anchorlock/>
                </v:shape>
                <o:OLEObject Type="Embed" ProgID="Visio.Drawing.11" ShapeID="_x0000_i1025" DrawAspect="Content" ObjectID="_1468075725" r:id="rId23">
                  <o:LockedField>false</o:LockedField>
                </o:OLEObject>
              </w:object>
            </w:r>
          </w:p>
          <w:p>
            <w:pPr>
              <w:adjustRightInd w:val="0"/>
              <w:snapToGrid w:val="0"/>
              <w:spacing w:before="120" w:beforeLines="50"/>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图</w:t>
            </w:r>
            <w:r>
              <w:rPr>
                <w:rFonts w:hint="default" w:ascii="Times New Roman" w:hAnsi="Times New Roman" w:eastAsia="宋体" w:cs="Times New Roman"/>
                <w:b/>
                <w:sz w:val="24"/>
                <w:szCs w:val="24"/>
                <w:highlight w:val="none"/>
                <w:lang w:val="en-US" w:eastAsia="zh-CN"/>
              </w:rPr>
              <w:t>2-1</w:t>
            </w:r>
            <w:r>
              <w:rPr>
                <w:rFonts w:hint="default" w:ascii="Times New Roman" w:hAnsi="Times New Roman" w:eastAsia="宋体" w:cs="Times New Roman"/>
                <w:b/>
                <w:sz w:val="24"/>
                <w:szCs w:val="24"/>
                <w:highlight w:val="none"/>
              </w:rPr>
              <w:t xml:space="preserve">    项目水平衡图    单位：m</w:t>
            </w:r>
            <w:r>
              <w:rPr>
                <w:rFonts w:hint="default" w:ascii="Times New Roman" w:hAnsi="Times New Roman" w:eastAsia="宋体" w:cs="Times New Roman"/>
                <w:b/>
                <w:sz w:val="24"/>
                <w:szCs w:val="24"/>
                <w:highlight w:val="none"/>
                <w:vertAlign w:val="superscript"/>
                <w:lang w:val="en-US" w:eastAsia="zh-CN"/>
              </w:rPr>
              <w:t>3</w:t>
            </w:r>
            <w:r>
              <w:rPr>
                <w:rFonts w:hint="default" w:ascii="Times New Roman" w:hAnsi="Times New Roman" w:eastAsia="宋体" w:cs="Times New Roman"/>
                <w:b/>
                <w:sz w:val="24"/>
                <w:szCs w:val="24"/>
                <w:highlight w:val="none"/>
              </w:rPr>
              <w:t>/a</w:t>
            </w:r>
          </w:p>
          <w:p>
            <w:pPr>
              <w:pStyle w:val="19"/>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jc w:val="both"/>
              <w:textAlignment w:val="auto"/>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2.8</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敏感保护目标</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根据现场勘查，本项目建设所处地理位置和当地的自然环境、社会环境功能以及区域环境污染特征，主要环境保护目标如下表2-6所列。</w:t>
            </w:r>
          </w:p>
          <w:p>
            <w:pPr>
              <w:pStyle w:val="27"/>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表2-6      主要环境保护目标</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37"/>
              <w:gridCol w:w="1084"/>
              <w:gridCol w:w="1147"/>
              <w:gridCol w:w="749"/>
              <w:gridCol w:w="1085"/>
              <w:gridCol w:w="1839"/>
              <w:gridCol w:w="946"/>
              <w:gridCol w:w="897"/>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vMerge w:val="restar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名称</w:t>
                  </w:r>
                </w:p>
              </w:tc>
              <w:tc>
                <w:tcPr>
                  <w:tcW w:w="1298" w:type="pct"/>
                  <w:gridSpan w:val="2"/>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坐</w:t>
                  </w:r>
                </w:p>
              </w:tc>
              <w:tc>
                <w:tcPr>
                  <w:tcW w:w="440" w:type="pct"/>
                  <w:vMerge w:val="restar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保护</w:t>
                  </w:r>
                </w:p>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对象</w:t>
                  </w:r>
                </w:p>
              </w:tc>
              <w:tc>
                <w:tcPr>
                  <w:tcW w:w="631" w:type="pct"/>
                  <w:vMerge w:val="restar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保护内容</w:t>
                  </w:r>
                </w:p>
              </w:tc>
              <w:tc>
                <w:tcPr>
                  <w:tcW w:w="948" w:type="pct"/>
                  <w:vMerge w:val="restar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环境功能区</w:t>
                  </w:r>
                </w:p>
              </w:tc>
              <w:tc>
                <w:tcPr>
                  <w:tcW w:w="552" w:type="pct"/>
                  <w:vMerge w:val="restar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相对厂址方位</w:t>
                  </w:r>
                </w:p>
              </w:tc>
              <w:tc>
                <w:tcPr>
                  <w:tcW w:w="524" w:type="pct"/>
                  <w:vMerge w:val="restar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相对厂界距离</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vMerge w:val="continue"/>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X</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Y</w:t>
                  </w:r>
                </w:p>
              </w:tc>
              <w:tc>
                <w:tcPr>
                  <w:tcW w:w="440" w:type="pct"/>
                  <w:vMerge w:val="continue"/>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c>
                <w:tcPr>
                  <w:tcW w:w="631" w:type="pct"/>
                  <w:vMerge w:val="continue"/>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c>
                <w:tcPr>
                  <w:tcW w:w="948" w:type="pct"/>
                  <w:vMerge w:val="continue"/>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c>
                <w:tcPr>
                  <w:tcW w:w="552" w:type="pct"/>
                  <w:vMerge w:val="continue"/>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c>
                <w:tcPr>
                  <w:tcW w:w="524" w:type="pct"/>
                  <w:vMerge w:val="continue"/>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党家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102.9294°</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35.5009°</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环境空气、噪声</w:t>
                  </w:r>
                </w:p>
              </w:tc>
              <w:tc>
                <w:tcPr>
                  <w:tcW w:w="948" w:type="pct"/>
                  <w:vMerge w:val="restart"/>
                  <w:vAlign w:val="center"/>
                </w:tcPr>
                <w:p>
                  <w:pPr>
                    <w:adjustRightInd w:val="0"/>
                    <w:snapToGrid w:val="0"/>
                    <w:jc w:val="center"/>
                    <w:rPr>
                      <w:rFonts w:hint="default" w:ascii="Times New Roman" w:hAnsi="Times New Roman" w:eastAsia="宋体" w:cs="Times New Roman"/>
                      <w:b/>
                      <w:sz w:val="21"/>
                      <w:szCs w:val="21"/>
                      <w:highlight w:val="none"/>
                    </w:rPr>
                  </w:pPr>
                  <w:r>
                    <w:rPr>
                      <w:rFonts w:hint="default" w:ascii="Times New Roman" w:hAnsi="Times New Roman" w:eastAsia="宋体" w:cs="Times New Roman"/>
                      <w:sz w:val="21"/>
                      <w:szCs w:val="21"/>
                      <w:highlight w:val="none"/>
                    </w:rPr>
                    <w:t>《环境空气质量标准》(GB3095-2012)</w:t>
                  </w:r>
                  <w:r>
                    <w:rPr>
                      <w:rFonts w:hint="default" w:ascii="Times New Roman" w:hAnsi="Times New Roman" w:eastAsia="宋体" w:cs="Times New Roman"/>
                      <w:sz w:val="21"/>
                      <w:szCs w:val="21"/>
                      <w:highlight w:val="none"/>
                      <w:lang w:val="en-US" w:eastAsia="zh-CN"/>
                    </w:rPr>
                    <w:t>二</w:t>
                  </w:r>
                  <w:r>
                    <w:rPr>
                      <w:rFonts w:hint="default" w:ascii="Times New Roman" w:hAnsi="Times New Roman" w:eastAsia="宋体" w:cs="Times New Roman"/>
                      <w:sz w:val="21"/>
                      <w:szCs w:val="21"/>
                      <w:highlight w:val="none"/>
                    </w:rPr>
                    <w:t>类标准、《声环境质量标准》（GB3096-2008）2类标准</w:t>
                  </w: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184m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肖家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102.9279°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35.4979°</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531m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古家山</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102.9174°</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35.4979°</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1312m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伺马坪</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102.9113°</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35.4931°</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2042m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马场山</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102.9209°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35.4918°</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1472m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郭东山村</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102.9302°</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35.4843°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1985m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大埂子</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102.9433°</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35.4873°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2000m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张家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102.9519°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35.4870°</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2547m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唐家山</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102.9508°</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35.4856°</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2564m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磨牙</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102.9464°</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35.4974°</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1462m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寺坡村</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102.9485°</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35.5040°</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1589m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上扎牧</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102.9479°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35.5054°</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1553m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赵家村</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102.9386°</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35.5051°</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738m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阳洼河家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102.9411°</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35.5078°</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1083m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尚家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102.9308°</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35.5108°</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926m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马角岭</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102.9361°</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35.5183°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1822m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下达沙</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102.9452°</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35.5221°</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2530m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早湾</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102.9469°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35.5183°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2262m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贡志山</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102.9511°</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35.5202°</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东北侧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2675m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新庄窼</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102.9265°</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35.5183°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1807m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朱家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102.9196°</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35.5208°</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2292m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舍家</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102.9052°</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35.5179°</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2917m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寺沟村</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102.9169°</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35.5153°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1927m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韩家门</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102.9064°</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35.5106°</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2415m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草滩</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102.9105°</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35.5075°</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1956m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中路村</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102.9231°</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35.5064°</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村民</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环境空气</w:t>
                  </w:r>
                </w:p>
              </w:tc>
              <w:tc>
                <w:tcPr>
                  <w:tcW w:w="948" w:type="pct"/>
                  <w:vMerge w:val="continue"/>
                  <w:vAlign w:val="center"/>
                </w:tcPr>
                <w:p>
                  <w:pPr>
                    <w:adjustRightInd w:val="0"/>
                    <w:snapToGrid w:val="0"/>
                    <w:jc w:val="center"/>
                    <w:rPr>
                      <w:rFonts w:hint="default" w:ascii="Times New Roman" w:hAnsi="Times New Roman" w:eastAsia="宋体" w:cs="Times New Roman"/>
                      <w:sz w:val="21"/>
                      <w:szCs w:val="21"/>
                      <w:highlight w:val="none"/>
                    </w:rPr>
                  </w:pP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西北侧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851m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604"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老鸦关河</w:t>
                  </w:r>
                </w:p>
              </w:tc>
              <w:tc>
                <w:tcPr>
                  <w:tcW w:w="631" w:type="pct"/>
                  <w:tcMar>
                    <w:left w:w="28" w:type="dxa"/>
                    <w:right w:w="28" w:type="dxa"/>
                  </w:tcMar>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102.9302°</w:t>
                  </w:r>
                </w:p>
              </w:tc>
              <w:tc>
                <w:tcPr>
                  <w:tcW w:w="667"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35.4843°</w:t>
                  </w:r>
                </w:p>
              </w:tc>
              <w:tc>
                <w:tcPr>
                  <w:tcW w:w="440"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水体</w:t>
                  </w:r>
                </w:p>
              </w:tc>
              <w:tc>
                <w:tcPr>
                  <w:tcW w:w="631"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水体环境</w:t>
                  </w:r>
                </w:p>
              </w:tc>
              <w:tc>
                <w:tcPr>
                  <w:tcW w:w="948" w:type="pct"/>
                  <w:vAlign w:val="center"/>
                </w:tcPr>
                <w:p>
                  <w:pPr>
                    <w:adjustRightInd w:val="0"/>
                    <w:snapToGrid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《地表水环境质量标准》(GB3838-2002)</w:t>
                  </w:r>
                </w:p>
              </w:tc>
              <w:tc>
                <w:tcPr>
                  <w:tcW w:w="552"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北侧</w:t>
                  </w:r>
                </w:p>
              </w:tc>
              <w:tc>
                <w:tcPr>
                  <w:tcW w:w="524" w:type="pct"/>
                  <w:vAlign w:val="center"/>
                </w:tcPr>
                <w:p>
                  <w:pPr>
                    <w:autoSpaceDE w:val="0"/>
                    <w:autoSpaceDN w:val="0"/>
                    <w:adjustRightInd w:val="0"/>
                    <w:snapToGrid w:val="0"/>
                    <w:jc w:val="center"/>
                    <w:rPr>
                      <w:rFonts w:hint="default" w:ascii="Times New Roman" w:hAnsi="Times New Roman" w:eastAsia="宋体" w:cs="Times New Roman"/>
                      <w:sz w:val="21"/>
                      <w:szCs w:val="21"/>
                      <w:highlight w:val="none"/>
                      <w:lang w:val="zh-CN"/>
                    </w:rPr>
                  </w:pPr>
                  <w:r>
                    <w:rPr>
                      <w:rFonts w:hint="default" w:ascii="Times New Roman" w:hAnsi="Times New Roman" w:eastAsia="宋体" w:cs="Times New Roman"/>
                      <w:sz w:val="21"/>
                      <w:szCs w:val="21"/>
                      <w:highlight w:val="none"/>
                      <w:lang w:val="zh-CN"/>
                    </w:rPr>
                    <w:t>155m</w:t>
                  </w:r>
                </w:p>
              </w:tc>
            </w:tr>
          </w:tbl>
          <w:p>
            <w:pPr>
              <w:pStyle w:val="19"/>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根据实际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调查</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并且</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验收阶段未新增新敏感保护目标。故本项目对周边环境未产生负面影响。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360" w:lineRule="auto"/>
              <w:jc w:val="both"/>
              <w:textAlignment w:val="auto"/>
              <w:rPr>
                <w:rFonts w:hint="default"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t>2.9、生产工艺</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本项目加油工序主要进行汽油、柴油的销售，根据油罐储量及加油机数量，本项目加油采用的工艺流程是常规的自吸流程：成品油罐车来油先通过卸油口卸到储油罐中，加油机本身自带的潜泵将油品由储油罐中吸到加油机中，经泵提升加压后给汽车加油，每个加油枪设单独管线吸油；由于柴油密度大，挥发量较汽油小很多，与汽油储罐相比，柴油储罐不需要油气回收装置。</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⑴卸油作业</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运送油品的汽车油罐车在罐区卸油现场停好位后，制动熄火，让罐内油品静置15分钟时间，并接通卸油现场静电释放装置消除罐车内积聚的静电。然后核实接卸油罐的空容，在确认接卸油罐相关附件完好的情况下，采用标准卸油软管和快装接头将罐车与储罐卸油口连通，连通后开阀卸油，该站采用的是密闭卸油方式，员工打开卸油阀后油品因位差便自流进入相应的埋地储油罐，同体积的油气因正压被压回油罐车，回收至油罐车内的油气由槽车带回油。</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⑵油品储存</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本项目加油站所经营的油品采用卧式SF双层罐储存，油罐埋地设置。储油罐选用正规厂家生产的合格产品，要求材质、钢板厚度及制作质量等均符合要求，油罐的入孔、进出油管、量油孔、通气孔等附件设置齐全，符合《汽车加油加气站设计与施工规范》(GB50156-2012)有关要求，储油罐量油孔可兼作采样孔，对储油罐油品采取人工检尺配合电子液位仪计量方式。本项目两座加油站均采用4座40m</w:t>
            </w:r>
            <w:r>
              <w:rPr>
                <w:rFonts w:hint="default" w:ascii="Times New Roman" w:hAnsi="Times New Roman" w:eastAsia="宋体" w:cs="Times New Roman"/>
                <w:b w:val="0"/>
                <w:bCs w:val="0"/>
                <w:color w:val="000000" w:themeColor="text1"/>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卧式SF埋地油罐和1座30m3卧式SF埋地油罐，储油罐内设计加装高液位报警仪。</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⑶加油作业</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加油站储油罐内的油品可通过潜油泵、输油管线、加油机、加油枪被加注到用油车辆的油箱内。向每台用油车辆实时加注的油品数量可通过加油机显示屏自动显示出来。</w:t>
            </w:r>
          </w:p>
          <w:p>
            <w:pPr>
              <w:pStyle w:val="2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加油站油品经营作业除加油作业、卸油作业、油品储存保管外还包括供发电作业、车辆进站引导、油品采样计量、加油站巡检、设备检修维护、油款结算等方面的作业。</w:t>
            </w:r>
          </w:p>
          <w:p>
            <w:pPr>
              <w:pStyle w:val="27"/>
              <w:jc w:val="center"/>
              <w:rPr>
                <w:rFonts w:hint="eastAsia" w:asciiTheme="minorEastAsia" w:hAnsiTheme="minorEastAsia" w:eastAsiaTheme="minorEastAsia" w:cstheme="minorEastAsia"/>
                <w:color w:val="000000" w:themeColor="text1"/>
                <w:sz w:val="24"/>
                <w:szCs w:val="24"/>
                <w:highlight w:val="none"/>
                <w:vertAlign w:val="baselin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vertAlign w:val="baseline"/>
                <w:lang w:eastAsia="zh-CN"/>
                <w14:textFill>
                  <w14:solidFill>
                    <w14:schemeClr w14:val="tx1"/>
                  </w14:solidFill>
                </w14:textFill>
              </w:rPr>
              <w:drawing>
                <wp:inline distT="0" distB="0" distL="114300" distR="114300">
                  <wp:extent cx="5273040" cy="1743075"/>
                  <wp:effectExtent l="0" t="0" r="3810" b="9525"/>
                  <wp:docPr id="33" name="图片 33" descr="{BM(YCKSS@%2NDL}`I()%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BM(YCKSS@%2NDL}`I()%L4"/>
                          <pic:cNvPicPr>
                            <a:picLocks noChangeAspect="1"/>
                          </pic:cNvPicPr>
                        </pic:nvPicPr>
                        <pic:blipFill>
                          <a:blip r:embed="rId25"/>
                          <a:stretch>
                            <a:fillRect/>
                          </a:stretch>
                        </pic:blipFill>
                        <pic:spPr>
                          <a:xfrm>
                            <a:off x="0" y="0"/>
                            <a:ext cx="5273040" cy="1743075"/>
                          </a:xfrm>
                          <a:prstGeom prst="rect">
                            <a:avLst/>
                          </a:prstGeom>
                        </pic:spPr>
                      </pic:pic>
                    </a:graphicData>
                  </a:graphic>
                </wp:inline>
              </w:drawing>
            </w:r>
          </w:p>
          <w:p>
            <w:pPr>
              <w:pStyle w:val="27"/>
              <w:jc w:val="center"/>
              <w:rPr>
                <w:rFonts w:hint="eastAsia"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vertAlign w:val="baseline"/>
                <w:lang w:eastAsia="zh-CN"/>
                <w14:textFill>
                  <w14:solidFill>
                    <w14:schemeClr w14:val="tx1"/>
                  </w14:solidFill>
                </w14:textFill>
              </w:rPr>
              <w:t>图</w:t>
            </w:r>
            <w:r>
              <w:rPr>
                <w:rFonts w:hint="eastAsia"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t>2-2   汽油卸油、储油、加油工艺流程及排污节点图</w:t>
            </w:r>
          </w:p>
          <w:p>
            <w:pPr>
              <w:pStyle w:val="27"/>
              <w:jc w:val="center"/>
              <w:rPr>
                <w:rFonts w:hint="default"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pPr>
            <w:r>
              <w:rPr>
                <w:rFonts w:hint="default"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drawing>
                <wp:inline distT="0" distB="0" distL="114300" distR="114300">
                  <wp:extent cx="5080000" cy="1617980"/>
                  <wp:effectExtent l="0" t="0" r="6350" b="1270"/>
                  <wp:docPr id="34" name="图片 34" descr="8{[S7_E3}1Q(CFD2$4(}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8{[S7_E3}1Q(CFD2$4(}G{U"/>
                          <pic:cNvPicPr>
                            <a:picLocks noChangeAspect="1"/>
                          </pic:cNvPicPr>
                        </pic:nvPicPr>
                        <pic:blipFill>
                          <a:blip r:embed="rId26"/>
                          <a:stretch>
                            <a:fillRect/>
                          </a:stretch>
                        </pic:blipFill>
                        <pic:spPr>
                          <a:xfrm>
                            <a:off x="0" y="0"/>
                            <a:ext cx="5080000" cy="1617980"/>
                          </a:xfrm>
                          <a:prstGeom prst="rect">
                            <a:avLst/>
                          </a:prstGeom>
                        </pic:spPr>
                      </pic:pic>
                    </a:graphicData>
                  </a:graphic>
                </wp:inline>
              </w:drawing>
            </w:r>
          </w:p>
          <w:p>
            <w:pPr>
              <w:pStyle w:val="27"/>
              <w:jc w:val="center"/>
              <w:rPr>
                <w:rFonts w:hint="default" w:asciiTheme="minorEastAsia" w:hAnsiTheme="minorEastAsia" w:eastAsiaTheme="minorEastAsia" w:cstheme="minorEastAsia"/>
                <w:b w:val="0"/>
                <w:bCs w:val="0"/>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t>图 2--3  柴油卸油、储油、加油工艺流程及排污节点图</w:t>
            </w:r>
          </w:p>
          <w:p>
            <w:pPr>
              <w:spacing w:line="360" w:lineRule="auto"/>
              <w:ind w:firstLine="480" w:firstLineChars="20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根据现场调查，生产工艺与环评一致。</w:t>
            </w:r>
          </w:p>
          <w:p>
            <w:pPr>
              <w:spacing w:line="360" w:lineRule="auto"/>
              <w:ind w:firstLine="480" w:firstLineChars="200"/>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在实际运营过程中，卸油储油加油过程严格按照环评要求的进行，并设有油气回收装置。减少了对环境空气的影响。</w:t>
            </w:r>
          </w:p>
          <w:p>
            <w:pPr>
              <w:pStyle w:val="2"/>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cs="Times New Roman"/>
                <w:b/>
                <w:bCs/>
                <w:color w:val="auto"/>
                <w:kern w:val="0"/>
                <w:sz w:val="24"/>
                <w:szCs w:val="24"/>
                <w:highlight w:val="none"/>
                <w:lang w:val="en-US" w:eastAsia="zh-CN"/>
              </w:rPr>
              <w:t>2.</w:t>
            </w:r>
            <w:r>
              <w:rPr>
                <w:rFonts w:hint="eastAsia" w:ascii="Times New Roman" w:hAnsi="Times New Roman" w:cs="Times New Roman"/>
                <w:b/>
                <w:bCs/>
                <w:color w:val="auto"/>
                <w:kern w:val="0"/>
                <w:sz w:val="24"/>
                <w:szCs w:val="24"/>
                <w:highlight w:val="none"/>
                <w:lang w:val="en-US" w:eastAsia="zh-CN"/>
              </w:rPr>
              <w:t>10、</w:t>
            </w:r>
            <w:r>
              <w:rPr>
                <w:rFonts w:hint="default" w:ascii="Times New Roman" w:hAnsi="Times New Roman" w:cs="Times New Roman"/>
                <w:b/>
                <w:bCs/>
                <w:color w:val="auto"/>
                <w:kern w:val="0"/>
                <w:sz w:val="24"/>
                <w:szCs w:val="24"/>
                <w:highlight w:val="none"/>
                <w:lang w:val="en-US" w:eastAsia="zh-CN"/>
              </w:rPr>
              <w:t>验收范围</w:t>
            </w:r>
          </w:p>
          <w:p>
            <w:pPr>
              <w:spacing w:line="360" w:lineRule="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实际工程量及工程建设变化情况，说明工程变化原因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p>
            <w:pPr>
              <w:pStyle w:val="27"/>
              <w:numPr>
                <w:ilvl w:val="0"/>
                <w:numId w:val="0"/>
              </w:numPr>
              <w:spacing w:line="360" w:lineRule="auto"/>
              <w:ind w:firstLine="480" w:firstLineChars="20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vertAlign w:val="baseline"/>
                <w:lang w:val="en-US" w:eastAsia="zh-CN"/>
                <w14:textFill>
                  <w14:solidFill>
                    <w14:schemeClr w14:val="tx1"/>
                  </w14:solidFill>
                </w14:textFill>
              </w:rPr>
              <w:t>本项目环评阶段建设内容加油区两排岛间设置双车道，每台柴油机设两个加油位，每台汽油机设四个加油位，加油加气区两排岛间设置双车岛，每台LNG加气机设1个加气位，共设置5台加油机，2台LNG单枪加气机</w:t>
            </w:r>
            <w:r>
              <w:rPr>
                <w:rFonts w:hint="eastAsia" w:ascii="Times New Roman" w:cs="Times New Roman"/>
                <w:b w:val="0"/>
                <w:bCs w:val="0"/>
                <w:color w:val="000000" w:themeColor="text1"/>
                <w:sz w:val="24"/>
                <w:szCs w:val="24"/>
                <w:highlight w:val="none"/>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A、B站房都为两层结构，供暖采用空调供暖，</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A、B站总</w:t>
            </w:r>
            <w:r>
              <w:rPr>
                <w:rFonts w:hint="eastAsia" w:ascii="Times New Roman" w:cs="Times New Roman"/>
                <w:color w:val="000000" w:themeColor="text1"/>
                <w:sz w:val="24"/>
                <w:szCs w:val="24"/>
                <w:highlight w:val="none"/>
                <w:lang w:val="en-US" w:eastAsia="zh-CN"/>
                <w14:textFill>
                  <w14:solidFill>
                    <w14:schemeClr w14:val="tx1"/>
                  </w14:solidFill>
                </w14:textFill>
              </w:rPr>
              <w:t>生产能力</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汽油2679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、柴油2319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、LNG</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2555</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A、B站总</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销售量</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汽油2679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、柴油2319</w:t>
            </w:r>
            <w:r>
              <w:rPr>
                <w:rFonts w:hint="default" w:ascii="Times New Roman" w:hAnsi="Times New Roman" w:eastAsia="宋体" w:cs="Times New Roman"/>
                <w:color w:val="000000" w:themeColor="text1"/>
                <w:sz w:val="24"/>
                <w:szCs w:val="24"/>
                <w:highlight w:val="none"/>
                <w14:textFill>
                  <w14:solidFill>
                    <w14:schemeClr w14:val="tx1"/>
                  </w14:solidFill>
                </w14:textFill>
              </w:rPr>
              <w:t>t/a</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p>
          <w:p>
            <w:pPr>
              <w:pStyle w:val="27"/>
              <w:numPr>
                <w:ilvl w:val="0"/>
                <w:numId w:val="0"/>
              </w:numPr>
              <w:spacing w:line="360" w:lineRule="auto"/>
              <w:ind w:firstLine="48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根据现场勘察，验收阶段，本项目实际加油区两排岛间设置双车道，</w:t>
            </w:r>
            <w:r>
              <w:rPr>
                <w:rFonts w:hint="eastAsia" w:ascii="Times New Roman" w:cs="Times New Roman"/>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单柱岛4个，设3台四枪四油品潜油泵型汽油加油机（汽油枪油气回收型），1台双枪双油品潜油泵型柴油加油机；LNG单枪加气机2台；J03柴油加油岛上设置柴油尾气处理液储存加注一体机1台，A站加油站站房为两层结构，B站加油站站房为一层结构，无新增污染物产生</w:t>
            </w:r>
            <w:r>
              <w:rPr>
                <w:rFonts w:hint="eastAsia" w:ascii="Times New Roman" w:cs="Times New Roman"/>
                <w:color w:val="000000" w:themeColor="text1"/>
                <w:sz w:val="24"/>
                <w:highlight w:val="none"/>
                <w:lang w:eastAsia="zh-CN"/>
                <w14:textFill>
                  <w14:solidFill>
                    <w14:schemeClr w14:val="tx1"/>
                  </w14:solidFill>
                </w14:textFill>
              </w:rPr>
              <w:t>。</w:t>
            </w:r>
          </w:p>
          <w:p>
            <w:pPr>
              <w:pStyle w:val="27"/>
              <w:numPr>
                <w:ilvl w:val="0"/>
                <w:numId w:val="0"/>
              </w:numPr>
              <w:spacing w:line="360" w:lineRule="auto"/>
              <w:ind w:firstLine="48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cs="Times New Roman"/>
                <w:color w:val="000000" w:themeColor="text1"/>
                <w:sz w:val="24"/>
                <w:highlight w:val="none"/>
                <w:lang w:eastAsia="zh-CN"/>
                <w14:textFill>
                  <w14:solidFill>
                    <w14:schemeClr w14:val="tx1"/>
                  </w14:solidFill>
                </w14:textFill>
              </w:rPr>
              <w:t>本项目处于试运行阶段，</w:t>
            </w:r>
            <w:r>
              <w:rPr>
                <w:rFonts w:hint="eastAsia" w:ascii="Times New Roman" w:cs="Times New Roman"/>
                <w:color w:val="000000" w:themeColor="text1"/>
                <w:sz w:val="24"/>
                <w:highlight w:val="none"/>
                <w:lang w:val="en-US" w:eastAsia="zh-CN"/>
                <w14:textFill>
                  <w14:solidFill>
                    <w14:schemeClr w14:val="tx1"/>
                  </w14:solidFill>
                </w14:textFill>
              </w:rPr>
              <w:t>当地车流量较少</w:t>
            </w:r>
            <w:r>
              <w:rPr>
                <w:rFonts w:hint="eastAsia" w:ascii="Times New Roman" w:cs="Times New Roman"/>
                <w:color w:val="000000" w:themeColor="text1"/>
                <w:sz w:val="24"/>
                <w:highlight w:val="none"/>
                <w:lang w:eastAsia="zh-CN"/>
                <w14:textFill>
                  <w14:solidFill>
                    <w14:schemeClr w14:val="tx1"/>
                  </w14:solidFill>
                </w14:textFill>
              </w:rPr>
              <w:t>，则实际销售量较环评阶段有所降低</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eastAsia" w:ascii="Times New Roman" w:cs="Times New Roman"/>
                <w:color w:val="000000" w:themeColor="text1"/>
                <w:sz w:val="24"/>
                <w:highlight w:val="none"/>
                <w:lang w:eastAsia="zh-CN"/>
                <w14:textFill>
                  <w14:solidFill>
                    <w14:schemeClr w14:val="tx1"/>
                  </w14:solidFill>
                </w14:textFill>
              </w:rPr>
              <w:t>但</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其生产、处置或储存能力</w:t>
            </w:r>
            <w:r>
              <w:rPr>
                <w:rFonts w:hint="eastAsia" w:ascii="Times New Roman" w:cs="Times New Roman"/>
                <w:color w:val="000000" w:themeColor="text1"/>
                <w:sz w:val="24"/>
                <w:highlight w:val="none"/>
                <w:lang w:val="en-US" w:eastAsia="zh-CN"/>
                <w14:textFill>
                  <w14:solidFill>
                    <w14:schemeClr w14:val="tx1"/>
                  </w14:solidFill>
                </w14:textFill>
              </w:rPr>
              <w:t>未发生变化，B站站房建设较环评阶段减少一层，未新增敏感点，未新增污染物排放量，不属于重大变动</w:t>
            </w:r>
          </w:p>
          <w:p>
            <w:pPr>
              <w:pStyle w:val="27"/>
              <w:numPr>
                <w:ilvl w:val="0"/>
                <w:numId w:val="0"/>
              </w:numPr>
              <w:spacing w:line="360" w:lineRule="auto"/>
              <w:ind w:firstLine="48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参考关于印发《污染影响类建设项目重大变动清单（试行）》的通知（环办环评函[2020]688号），重大变更一般为设计产能超过增大30%或者新增向外环境排放污染物的。本项目建设规模未发生变化，无新增污染物产生，无新增敏感点，设计产能也未超过30%，因此本项目的变化不属于重大变更。</w:t>
            </w: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p>
          <w:p>
            <w:pP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p>
          <w:p>
            <w:pPr>
              <w:pStyle w:val="21"/>
              <w:spacing w:after="0" w:line="360" w:lineRule="auto"/>
              <w:ind w:left="0" w:leftChars="0" w:firstLine="0" w:firstLineChars="0"/>
              <w:jc w:val="both"/>
              <w:rPr>
                <w:rFonts w:hint="eastAsia" w:asciiTheme="minorEastAsia" w:hAnsiTheme="minorEastAsia" w:eastAsiaTheme="minorEastAsia" w:cstheme="minorEastAsia"/>
                <w:b/>
                <w:bCs/>
                <w:color w:val="000000" w:themeColor="text1"/>
                <w:sz w:val="24"/>
                <w:szCs w:val="24"/>
                <w:highlight w:val="none"/>
                <w:vertAlign w:val="baseline"/>
                <w:lang w:val="en-US" w:eastAsia="zh-CN"/>
                <w14:textFill>
                  <w14:solidFill>
                    <w14:schemeClr w14:val="tx1"/>
                  </w14:solidFill>
                </w14:textFill>
              </w:rPr>
            </w:pPr>
          </w:p>
        </w:tc>
      </w:tr>
    </w:tbl>
    <w:p>
      <w:pPr>
        <w:rPr>
          <w:rFonts w:asciiTheme="minorEastAsia" w:hAnsiTheme="minorEastAsia"/>
          <w:b/>
          <w:color w:val="000000" w:themeColor="text1"/>
          <w:sz w:val="28"/>
          <w:szCs w:val="28"/>
          <w:highlight w:val="none"/>
          <w14:textFill>
            <w14:solidFill>
              <w14:schemeClr w14:val="tx1"/>
            </w14:solidFill>
          </w14:textFill>
        </w:rPr>
        <w:sectPr>
          <w:footerReference r:id="rId9" w:type="default"/>
          <w:pgSz w:w="11906" w:h="16838"/>
          <w:pgMar w:top="1701" w:right="1531" w:bottom="1701" w:left="1587"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rPr>
          <w:rFonts w:hint="eastAsia" w:asciiTheme="minorEastAsia" w:hAnsiTheme="minorEastAsia"/>
          <w:b/>
          <w:color w:val="000000" w:themeColor="text1"/>
          <w:sz w:val="28"/>
          <w:szCs w:val="28"/>
          <w:highlight w:val="none"/>
          <w14:textFill>
            <w14:solidFill>
              <w14:schemeClr w14:val="tx1"/>
            </w14:solidFill>
          </w14:textFill>
        </w:rPr>
      </w:pPr>
      <w:r>
        <w:rPr>
          <w:rFonts w:asciiTheme="minorEastAsia" w:hAnsiTheme="minorEastAsia"/>
          <w:b/>
          <w:color w:val="000000" w:themeColor="text1"/>
          <w:sz w:val="28"/>
          <w:szCs w:val="28"/>
          <w:highlight w:val="none"/>
          <w14:textFill>
            <w14:solidFill>
              <w14:schemeClr w14:val="tx1"/>
            </w14:solidFill>
          </w14:textFill>
        </w:rPr>
        <w:t>表</w:t>
      </w:r>
      <w:r>
        <w:rPr>
          <w:rFonts w:hint="eastAsia" w:asciiTheme="minorEastAsia" w:hAnsiTheme="minorEastAsia"/>
          <w:b/>
          <w:color w:val="000000" w:themeColor="text1"/>
          <w:sz w:val="28"/>
          <w:szCs w:val="28"/>
          <w:highlight w:val="none"/>
          <w:lang w:eastAsia="zh-CN"/>
          <w14:textFill>
            <w14:solidFill>
              <w14:schemeClr w14:val="tx1"/>
            </w14:solidFill>
          </w14:textFill>
        </w:rPr>
        <w:t>三</w:t>
      </w:r>
    </w:p>
    <w:tbl>
      <w:tblPr>
        <w:tblStyle w:val="23"/>
        <w:tblW w:w="8513"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13" w:type="dxa"/>
            <w:vAlign w:val="top"/>
          </w:tcPr>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3.1主要污染源、污染物处理和排放</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3.1.2声环境</w:t>
            </w:r>
          </w:p>
          <w:p>
            <w:pPr>
              <w:keepLines w:val="0"/>
              <w:pageBreakBefore w:val="0"/>
              <w:numPr>
                <w:ilvl w:val="0"/>
                <w:numId w:val="0"/>
              </w:numPr>
              <w:kinsoku/>
              <w:wordWrap/>
              <w:overflowPunct/>
              <w:topLinePunct w:val="0"/>
              <w:bidi w:val="0"/>
              <w:spacing w:line="360" w:lineRule="auto"/>
              <w:ind w:firstLine="480" w:firstLineChars="200"/>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t>本项目主要噪声源为项目区内来往的机动车行驶产生的交通噪声，加油泵和加油机等设备运行时产生的噪声。</w:t>
            </w:r>
          </w:p>
          <w:p>
            <w:pPr>
              <w:keepLines w:val="0"/>
              <w:pageBreakBefore w:val="0"/>
              <w:numPr>
                <w:ilvl w:val="0"/>
                <w:numId w:val="0"/>
              </w:numPr>
              <w:kinsoku/>
              <w:wordWrap/>
              <w:overflowPunct/>
              <w:topLinePunct w:val="0"/>
              <w:bidi w:val="0"/>
              <w:spacing w:line="360" w:lineRule="auto"/>
              <w:ind w:firstLine="480" w:firstLineChars="200"/>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t>根据调查，建设单位选用的是低噪声设备，并设置了减振垫，电机设于专门机房内设置了警示标语，车辆进站时减速、禁止鸣笛、加油时车辆熄火和平稳启动等措施，使区域内的交通噪声降到最低值。</w:t>
            </w:r>
          </w:p>
          <w:p>
            <w:pPr>
              <w:keepLines w:val="0"/>
              <w:pageBreakBefore w:val="0"/>
              <w:numPr>
                <w:ilvl w:val="0"/>
                <w:numId w:val="0"/>
              </w:numPr>
              <w:kinsoku/>
              <w:wordWrap/>
              <w:overflowPunct/>
              <w:topLinePunct w:val="0"/>
              <w:bidi w:val="0"/>
              <w:spacing w:line="360" w:lineRule="auto"/>
              <w:ind w:firstLine="480" w:firstLineChars="200"/>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2"/>
                <w:sz w:val="24"/>
                <w:szCs w:val="24"/>
                <w:highlight w:val="none"/>
                <w:lang w:val="en-US" w:eastAsia="zh-CN" w:bidi="ar-SA"/>
                <w14:textFill>
                  <w14:solidFill>
                    <w14:schemeClr w14:val="tx1"/>
                  </w14:solidFill>
                </w14:textFill>
              </w:rPr>
              <w:t>根据验收监测结果显示厂界噪声可满足《工业企业厂界环境噪声排放标准》(GB12348-2008)中2类，该噪声对周围环境敏感点影响不大。</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auto"/>
                <w:spacing w:val="0"/>
                <w:sz w:val="24"/>
                <w:szCs w:val="24"/>
                <w:highlight w:val="none"/>
                <w:lang w:val="en-US" w:eastAsia="zh-CN"/>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3.1.</w:t>
            </w:r>
            <w:r>
              <w:rPr>
                <w:rFonts w:hint="default" w:ascii="Times New Roman" w:hAnsi="Times New Roman" w:eastAsia="宋体" w:cs="Times New Roman"/>
                <w:b/>
                <w:color w:val="auto"/>
                <w:spacing w:val="0"/>
                <w:sz w:val="24"/>
                <w:szCs w:val="24"/>
                <w:highlight w:val="none"/>
                <w:lang w:val="en-US" w:eastAsia="zh-CN"/>
              </w:rPr>
              <w:t>3水环境</w:t>
            </w:r>
          </w:p>
          <w:p>
            <w:pPr>
              <w:pStyle w:val="5"/>
              <w:keepLines w:val="0"/>
              <w:pageBreakBefore w:val="0"/>
              <w:kinsoku/>
              <w:wordWrap/>
              <w:overflowPunct/>
              <w:topLinePunct w:val="0"/>
              <w:bidi w:val="0"/>
              <w:snapToGrid w:val="0"/>
              <w:spacing w:after="0" w:line="360" w:lineRule="auto"/>
              <w:ind w:left="0" w:leftChars="0" w:firstLine="480" w:firstLineChars="200"/>
              <w:rPr>
                <w:rFonts w:hint="default" w:ascii="Times New Roman" w:hAnsi="Times New Roman" w:eastAsia="宋体" w:cs="Times New Roman"/>
                <w:color w:val="auto"/>
                <w:spacing w:val="0"/>
                <w:sz w:val="24"/>
                <w:highlight w:val="none"/>
              </w:rPr>
            </w:pPr>
            <w:r>
              <w:rPr>
                <w:rFonts w:hint="default" w:ascii="Times New Roman" w:hAnsi="Times New Roman" w:eastAsia="宋体" w:cs="Times New Roman"/>
                <w:color w:val="auto"/>
                <w:spacing w:val="0"/>
                <w:sz w:val="24"/>
                <w:highlight w:val="none"/>
              </w:rPr>
              <w:t>加油站废水主要为人员生活污水和生产产生的油罐清洗废水。</w:t>
            </w:r>
          </w:p>
          <w:p>
            <w:pPr>
              <w:pStyle w:val="5"/>
              <w:keepLines w:val="0"/>
              <w:pageBreakBefore w:val="0"/>
              <w:kinsoku/>
              <w:wordWrap/>
              <w:overflowPunct/>
              <w:topLinePunct w:val="0"/>
              <w:bidi w:val="0"/>
              <w:snapToGrid w:val="0"/>
              <w:spacing w:after="0" w:line="360" w:lineRule="auto"/>
              <w:ind w:left="0" w:leftChars="0" w:firstLine="480" w:firstLineChars="200"/>
              <w:rPr>
                <w:rFonts w:hint="default" w:ascii="Times New Roman" w:hAnsi="Times New Roman" w:eastAsia="宋体" w:cs="Times New Roman"/>
                <w:color w:val="auto"/>
                <w:spacing w:val="0"/>
                <w:sz w:val="24"/>
                <w:highlight w:val="none"/>
              </w:rPr>
            </w:pPr>
            <w:r>
              <w:rPr>
                <w:rFonts w:hint="default" w:ascii="Times New Roman" w:hAnsi="Times New Roman" w:eastAsia="宋体" w:cs="Times New Roman"/>
                <w:color w:val="auto"/>
                <w:spacing w:val="0"/>
                <w:sz w:val="24"/>
                <w:highlight w:val="none"/>
              </w:rPr>
              <w:t>⑴生产废水</w:t>
            </w:r>
          </w:p>
          <w:p>
            <w:pPr>
              <w:keepLines w:val="0"/>
              <w:pageBreakBefore w:val="0"/>
              <w:kinsoku/>
              <w:wordWrap/>
              <w:overflowPunct/>
              <w:topLinePunct w:val="0"/>
              <w:bidi w:val="0"/>
              <w:spacing w:line="360" w:lineRule="auto"/>
              <w:ind w:firstLine="480" w:firstLineChars="200"/>
              <w:rPr>
                <w:rFonts w:hint="default" w:ascii="Times New Roman" w:hAnsi="Times New Roman" w:eastAsia="宋体" w:cs="Times New Roman"/>
                <w:color w:val="auto"/>
                <w:spacing w:val="0"/>
                <w:sz w:val="24"/>
                <w:highlight w:val="none"/>
              </w:rPr>
            </w:pPr>
            <w:r>
              <w:rPr>
                <w:rFonts w:hint="default" w:ascii="Times New Roman" w:hAnsi="Times New Roman" w:eastAsia="宋体" w:cs="Times New Roman"/>
                <w:color w:val="auto"/>
                <w:spacing w:val="0"/>
                <w:sz w:val="24"/>
                <w:highlight w:val="none"/>
              </w:rPr>
              <w:t>本项目工业废水主要为储油罐清洗废水，天然气储罐无废水产生，通过类比同类项目的运行情况，油罐清洗周期约为三至五年，单座加油加气站清洗废水产生量约为6.0m</w:t>
            </w:r>
            <w:r>
              <w:rPr>
                <w:rFonts w:hint="default" w:ascii="Times New Roman" w:hAnsi="Times New Roman" w:eastAsia="宋体" w:cs="Times New Roman"/>
                <w:color w:val="auto"/>
                <w:spacing w:val="0"/>
                <w:sz w:val="24"/>
                <w:highlight w:val="none"/>
                <w:vertAlign w:val="superscript"/>
              </w:rPr>
              <w:t>3</w:t>
            </w:r>
            <w:r>
              <w:rPr>
                <w:rFonts w:hint="default" w:ascii="Times New Roman" w:hAnsi="Times New Roman" w:eastAsia="宋体" w:cs="Times New Roman"/>
                <w:color w:val="auto"/>
                <w:spacing w:val="0"/>
                <w:sz w:val="24"/>
                <w:highlight w:val="none"/>
              </w:rPr>
              <w:t>/次，其废水中主要污染物为石油类、COD、SS、阴离子表面活性剂（LAS）等。本项目两座加油站每次油罐清洗废水产生量约为12.0m</w:t>
            </w:r>
            <w:r>
              <w:rPr>
                <w:rFonts w:hint="default" w:ascii="Times New Roman" w:hAnsi="Times New Roman" w:eastAsia="宋体" w:cs="Times New Roman"/>
                <w:color w:val="auto"/>
                <w:spacing w:val="0"/>
                <w:sz w:val="24"/>
                <w:highlight w:val="none"/>
                <w:vertAlign w:val="superscript"/>
              </w:rPr>
              <w:t>3</w:t>
            </w:r>
            <w:r>
              <w:rPr>
                <w:rFonts w:hint="default" w:ascii="Times New Roman" w:hAnsi="Times New Roman" w:eastAsia="宋体" w:cs="Times New Roman"/>
                <w:color w:val="auto"/>
                <w:spacing w:val="0"/>
                <w:sz w:val="24"/>
                <w:highlight w:val="none"/>
              </w:rPr>
              <w:t>/次，</w:t>
            </w:r>
          </w:p>
          <w:p>
            <w:pPr>
              <w:keepLines w:val="0"/>
              <w:pageBreakBefore w:val="0"/>
              <w:kinsoku/>
              <w:wordWrap/>
              <w:overflowPunct/>
              <w:topLinePunct w:val="0"/>
              <w:bidi w:val="0"/>
              <w:spacing w:line="360" w:lineRule="auto"/>
              <w:ind w:firstLine="480" w:firstLineChars="200"/>
              <w:rPr>
                <w:rFonts w:hint="default" w:ascii="Times New Roman" w:hAnsi="Times New Roman" w:eastAsia="宋体" w:cs="Times New Roman"/>
                <w:color w:val="auto"/>
                <w:spacing w:val="0"/>
                <w:sz w:val="24"/>
                <w:highlight w:val="none"/>
              </w:rPr>
            </w:pPr>
            <w:r>
              <w:rPr>
                <w:rFonts w:hint="default" w:ascii="Times New Roman" w:hAnsi="Times New Roman" w:eastAsia="宋体" w:cs="Times New Roman"/>
                <w:color w:val="auto"/>
                <w:spacing w:val="0"/>
                <w:sz w:val="24"/>
                <w:highlight w:val="none"/>
              </w:rPr>
              <w:t>由于项目属于新建，暂时还未产生</w:t>
            </w:r>
            <w:r>
              <w:rPr>
                <w:rFonts w:hint="eastAsia" w:ascii="Times New Roman" w:hAnsi="Times New Roman" w:eastAsia="宋体" w:cs="Times New Roman"/>
                <w:color w:val="auto"/>
                <w:spacing w:val="0"/>
                <w:sz w:val="24"/>
                <w:highlight w:val="none"/>
                <w:lang w:val="en-US" w:eastAsia="zh-CN"/>
              </w:rPr>
              <w:t>清洗废水</w:t>
            </w:r>
            <w:r>
              <w:rPr>
                <w:rFonts w:hint="default" w:ascii="Times New Roman" w:hAnsi="Times New Roman" w:eastAsia="宋体" w:cs="Times New Roman"/>
                <w:color w:val="auto"/>
                <w:spacing w:val="0"/>
                <w:sz w:val="24"/>
                <w:highlight w:val="none"/>
              </w:rPr>
              <w:t>，在</w:t>
            </w:r>
            <w:r>
              <w:rPr>
                <w:rFonts w:hint="eastAsia" w:ascii="Times New Roman" w:hAnsi="Times New Roman" w:eastAsia="宋体" w:cs="Times New Roman"/>
                <w:color w:val="auto"/>
                <w:spacing w:val="0"/>
                <w:sz w:val="24"/>
                <w:highlight w:val="none"/>
                <w:lang w:val="en-US" w:eastAsia="zh-CN"/>
              </w:rPr>
              <w:t>后期清洗</w:t>
            </w:r>
            <w:r>
              <w:rPr>
                <w:rFonts w:hint="default" w:ascii="Times New Roman" w:hAnsi="Times New Roman" w:eastAsia="宋体" w:cs="Times New Roman"/>
                <w:color w:val="auto"/>
                <w:spacing w:val="0"/>
                <w:sz w:val="24"/>
                <w:highlight w:val="none"/>
              </w:rPr>
              <w:t>时，建设单位应委托具有清洗资质的专业单位负责进行专业清洗，不得在遗留在站内，禁止自行处置或排放</w:t>
            </w:r>
          </w:p>
          <w:p>
            <w:pPr>
              <w:keepLines w:val="0"/>
              <w:pageBreakBefore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pacing w:val="0"/>
                <w:sz w:val="24"/>
                <w:highlight w:val="none"/>
              </w:rPr>
            </w:pPr>
            <w:r>
              <w:rPr>
                <w:rFonts w:hint="default" w:ascii="Times New Roman" w:hAnsi="Times New Roman" w:eastAsia="宋体" w:cs="Times New Roman"/>
                <w:color w:val="auto"/>
                <w:spacing w:val="0"/>
                <w:sz w:val="24"/>
                <w:highlight w:val="none"/>
              </w:rPr>
              <w:t>⑵生活污水</w:t>
            </w:r>
          </w:p>
          <w:p>
            <w:pPr>
              <w:pStyle w:val="4"/>
              <w:keepNext/>
              <w:keepLines w:val="0"/>
              <w:pageBreakBefore w:val="0"/>
              <w:kinsoku/>
              <w:wordWrap/>
              <w:overflowPunct/>
              <w:topLinePunct w:val="0"/>
              <w:bidi w:val="0"/>
              <w:adjustRightInd w:val="0"/>
              <w:snapToGrid w:val="0"/>
              <w:spacing w:line="360" w:lineRule="auto"/>
              <w:ind w:firstLine="480" w:firstLineChars="200"/>
              <w:rPr>
                <w:rFonts w:hint="eastAsia" w:ascii="Times New Roman" w:hAnsi="Times New Roman" w:eastAsia="宋体" w:cs="Times New Roman"/>
                <w:color w:val="auto"/>
                <w:spacing w:val="0"/>
                <w:sz w:val="24"/>
                <w:highlight w:val="none"/>
                <w:lang w:eastAsia="zh-CN"/>
              </w:rPr>
            </w:pPr>
            <w:r>
              <w:rPr>
                <w:rFonts w:hint="default" w:ascii="Times New Roman" w:hAnsi="Times New Roman" w:eastAsia="宋体" w:cs="Times New Roman"/>
                <w:color w:val="auto"/>
                <w:spacing w:val="0"/>
                <w:sz w:val="24"/>
                <w:highlight w:val="none"/>
              </w:rPr>
              <w:t>本项目AB两座加油站总劳动定员</w:t>
            </w:r>
            <w:r>
              <w:rPr>
                <w:rFonts w:hint="eastAsia" w:ascii="Times New Roman" w:hAnsi="Times New Roman" w:eastAsia="宋体" w:cs="Times New Roman"/>
                <w:color w:val="auto"/>
                <w:spacing w:val="0"/>
                <w:sz w:val="24"/>
                <w:highlight w:val="none"/>
                <w:lang w:val="en-US" w:eastAsia="zh-CN"/>
              </w:rPr>
              <w:t>5</w:t>
            </w:r>
            <w:r>
              <w:rPr>
                <w:rFonts w:hint="default" w:ascii="Times New Roman" w:hAnsi="Times New Roman" w:eastAsia="宋体" w:cs="Times New Roman"/>
                <w:color w:val="auto"/>
                <w:spacing w:val="0"/>
                <w:sz w:val="24"/>
                <w:highlight w:val="none"/>
              </w:rPr>
              <w:t>人，年工作天数为365天，经核算，项目生活废水产生量为0.</w:t>
            </w:r>
            <w:r>
              <w:rPr>
                <w:rFonts w:hint="eastAsia" w:ascii="Times New Roman" w:hAnsi="Times New Roman" w:eastAsia="宋体" w:cs="Times New Roman"/>
                <w:color w:val="auto"/>
                <w:spacing w:val="0"/>
                <w:sz w:val="24"/>
                <w:highlight w:val="none"/>
                <w:lang w:val="en-US" w:eastAsia="zh-CN"/>
              </w:rPr>
              <w:t>45</w:t>
            </w:r>
            <w:r>
              <w:rPr>
                <w:rFonts w:hint="default" w:ascii="Times New Roman" w:hAnsi="Times New Roman" w:eastAsia="宋体" w:cs="Times New Roman"/>
                <w:color w:val="auto"/>
                <w:spacing w:val="0"/>
                <w:sz w:val="24"/>
                <w:highlight w:val="none"/>
              </w:rPr>
              <w:t>m</w:t>
            </w:r>
            <w:r>
              <w:rPr>
                <w:rFonts w:hint="default" w:ascii="Times New Roman" w:hAnsi="Times New Roman" w:eastAsia="宋体" w:cs="Times New Roman"/>
                <w:color w:val="auto"/>
                <w:spacing w:val="0"/>
                <w:sz w:val="24"/>
                <w:highlight w:val="none"/>
                <w:vertAlign w:val="superscript"/>
              </w:rPr>
              <w:t>3</w:t>
            </w:r>
            <w:r>
              <w:rPr>
                <w:rFonts w:hint="default" w:ascii="Times New Roman" w:hAnsi="Times New Roman" w:eastAsia="宋体" w:cs="Times New Roman"/>
                <w:color w:val="auto"/>
                <w:spacing w:val="0"/>
                <w:sz w:val="24"/>
                <w:highlight w:val="none"/>
              </w:rPr>
              <w:t>/d（</w:t>
            </w:r>
            <w:r>
              <w:rPr>
                <w:rFonts w:hint="eastAsia" w:ascii="Times New Roman" w:hAnsi="Times New Roman" w:eastAsia="宋体" w:cs="Times New Roman"/>
                <w:color w:val="auto"/>
                <w:spacing w:val="0"/>
                <w:sz w:val="24"/>
                <w:highlight w:val="none"/>
                <w:lang w:val="en-US" w:eastAsia="zh-CN"/>
              </w:rPr>
              <w:t>164.25</w:t>
            </w:r>
            <w:r>
              <w:rPr>
                <w:rFonts w:hint="default" w:ascii="Times New Roman" w:hAnsi="Times New Roman" w:eastAsia="宋体" w:cs="Times New Roman"/>
                <w:color w:val="auto"/>
                <w:spacing w:val="0"/>
                <w:sz w:val="24"/>
                <w:highlight w:val="none"/>
              </w:rPr>
              <w:t>m</w:t>
            </w:r>
            <w:r>
              <w:rPr>
                <w:rFonts w:hint="default" w:ascii="Times New Roman" w:hAnsi="Times New Roman" w:eastAsia="宋体" w:cs="Times New Roman"/>
                <w:color w:val="auto"/>
                <w:spacing w:val="0"/>
                <w:sz w:val="24"/>
                <w:highlight w:val="none"/>
                <w:vertAlign w:val="superscript"/>
              </w:rPr>
              <w:t>3</w:t>
            </w:r>
            <w:r>
              <w:rPr>
                <w:rFonts w:hint="default" w:ascii="Times New Roman" w:hAnsi="Times New Roman" w:eastAsia="宋体" w:cs="Times New Roman"/>
                <w:color w:val="auto"/>
                <w:spacing w:val="0"/>
                <w:sz w:val="24"/>
                <w:highlight w:val="none"/>
              </w:rPr>
              <w:t>/a）</w:t>
            </w:r>
            <w:r>
              <w:rPr>
                <w:rFonts w:hint="eastAsia" w:ascii="Times New Roman" w:hAnsi="Times New Roman" w:eastAsia="宋体" w:cs="Times New Roman"/>
                <w:color w:val="auto"/>
                <w:spacing w:val="0"/>
                <w:sz w:val="24"/>
                <w:highlight w:val="none"/>
                <w:lang w:eastAsia="zh-CN"/>
              </w:rPr>
              <w:t>，</w:t>
            </w:r>
            <w:r>
              <w:rPr>
                <w:rFonts w:hint="eastAsia" w:ascii="Times New Roman" w:hAnsi="Times New Roman" w:eastAsia="宋体" w:cs="Times New Roman"/>
                <w:color w:val="auto"/>
                <w:spacing w:val="0"/>
                <w:sz w:val="24"/>
                <w:highlight w:val="none"/>
                <w:lang w:val="en-US" w:eastAsia="zh-CN"/>
              </w:rPr>
              <w:t>验收阶段工作人员较少，生活污水依托韩集服务区污水处理设施排放</w:t>
            </w:r>
            <w:r>
              <w:rPr>
                <w:rFonts w:hint="eastAsia" w:ascii="Times New Roman" w:hAnsi="Times New Roman" w:eastAsia="宋体" w:cs="Times New Roman"/>
                <w:color w:val="auto"/>
                <w:spacing w:val="0"/>
                <w:sz w:val="24"/>
                <w:highlight w:val="none"/>
                <w:lang w:eastAsia="zh-CN"/>
              </w:rPr>
              <w:t>。</w:t>
            </w:r>
          </w:p>
          <w:p>
            <w:pPr>
              <w:pStyle w:val="5"/>
              <w:ind w:left="0" w:leftChars="0" w:firstLine="480" w:firstLineChars="200"/>
              <w:rPr>
                <w:rFonts w:hint="default"/>
                <w:highlight w:val="none"/>
                <w:lang w:val="en-US" w:eastAsia="zh-CN"/>
              </w:rPr>
            </w:pPr>
            <w:r>
              <w:rPr>
                <w:rFonts w:hint="eastAsia"/>
                <w:highlight w:val="none"/>
                <w:lang w:val="en-US" w:eastAsia="zh-CN"/>
              </w:rPr>
              <w:t>本项目验收阶段，实际工作人员较环评阶段减少，生活污水排放量减少，依托韩集服务区污水处理设施排放。</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3.1.4环境空气</w:t>
            </w:r>
          </w:p>
          <w:p>
            <w:pPr>
              <w:keepLines w:val="0"/>
              <w:pageBreakBefore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000000" w:themeColor="text1"/>
                <w:spacing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spacing w:val="0"/>
                <w:sz w:val="24"/>
                <w:szCs w:val="24"/>
                <w:highlight w:val="none"/>
                <w14:textFill>
                  <w14:solidFill>
                    <w14:schemeClr w14:val="tx1"/>
                  </w14:solidFill>
                </w14:textFill>
              </w:rPr>
              <w:t>本项目</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废气主要来源于卸油、油罐大小呼吸废气、加油、跑冒滴漏产生的非甲烷总烃。</w:t>
            </w:r>
          </w:p>
          <w:p>
            <w:pPr>
              <w:keepLines w:val="0"/>
              <w:pageBreakBefore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根据调查，加油站设置了油气回收系统，卸油时全封闭式卸油，储油罐顶部和周围回填了沙子和细土，项目储油罐为</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埋地卧式罐</w:t>
            </w:r>
            <w:r>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，采用浸没卸油、设置油气回收装置。</w:t>
            </w:r>
          </w:p>
          <w:p>
            <w:pPr>
              <w:keepLines w:val="0"/>
              <w:pageBreakBefore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本加油站位于乡村地区，站址开阔，空气流动良好，排放的烃类有害物质周</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界浓度相对较小。</w:t>
            </w:r>
          </w:p>
          <w:p>
            <w:pPr>
              <w:keepLines w:val="0"/>
              <w:pageBreakBefore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经检测非甲烷总烃的排放最大浓度为0.</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99</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mg/m</w:t>
            </w:r>
            <w:r>
              <w:rPr>
                <w:rFonts w:hint="default" w:ascii="Times New Roman" w:hAnsi="Times New Roman" w:eastAsia="宋体" w:cs="Times New Roman"/>
                <w:color w:val="000000" w:themeColor="text1"/>
                <w:spacing w:val="0"/>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。能够满足《加油站大气污染物排放标准》中4.0mg/m</w:t>
            </w:r>
            <w:r>
              <w:rPr>
                <w:rFonts w:hint="default" w:ascii="Times New Roman" w:hAnsi="Times New Roman" w:eastAsia="宋体" w:cs="Times New Roman"/>
                <w:color w:val="000000" w:themeColor="text1"/>
                <w:spacing w:val="0"/>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的标准限值。</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3.1.5固体废物</w:t>
            </w:r>
          </w:p>
          <w:p>
            <w:pPr>
              <w:keepLines w:val="0"/>
              <w:pageBreakBefore w:val="0"/>
              <w:kinsoku/>
              <w:wordWrap/>
              <w:overflowPunct/>
              <w:topLinePunct w:val="0"/>
              <w:bidi w:val="0"/>
              <w:adjustRightInd w:val="0"/>
              <w:snapToGrid w:val="0"/>
              <w:spacing w:line="360" w:lineRule="auto"/>
              <w:ind w:firstLine="480" w:firstLineChars="200"/>
              <w:rPr>
                <w:color w:val="auto"/>
                <w:spacing w:val="0"/>
                <w:sz w:val="24"/>
                <w:highlight w:val="none"/>
              </w:rPr>
            </w:pPr>
            <w:r>
              <w:rPr>
                <w:color w:val="auto"/>
                <w:spacing w:val="0"/>
                <w:sz w:val="24"/>
                <w:highlight w:val="none"/>
              </w:rPr>
              <w:t>本项目的固体废物主要包括生活垃圾和储罐清理产生的废油渣。</w:t>
            </w:r>
          </w:p>
          <w:p>
            <w:pPr>
              <w:keepLines w:val="0"/>
              <w:pageBreakBefore w:val="0"/>
              <w:kinsoku/>
              <w:wordWrap/>
              <w:overflowPunct/>
              <w:topLinePunct w:val="0"/>
              <w:bidi w:val="0"/>
              <w:adjustRightInd w:val="0"/>
              <w:snapToGrid w:val="0"/>
              <w:spacing w:line="360" w:lineRule="auto"/>
              <w:ind w:firstLine="480" w:firstLineChars="200"/>
              <w:contextualSpacing/>
              <w:rPr>
                <w:rFonts w:hint="default"/>
                <w:color w:val="auto"/>
                <w:spacing w:val="0"/>
                <w:sz w:val="24"/>
                <w:highlight w:val="none"/>
                <w:lang w:val="en-US" w:eastAsia="zh-CN"/>
              </w:rPr>
            </w:pPr>
            <w:r>
              <w:rPr>
                <w:color w:val="auto"/>
                <w:spacing w:val="0"/>
                <w:sz w:val="24"/>
                <w:highlight w:val="none"/>
              </w:rPr>
              <w:t>项目运营期生活垃圾产生量按0.5kg/人.d计，运营期站房工作人员</w:t>
            </w:r>
            <w:r>
              <w:rPr>
                <w:rFonts w:hint="eastAsia"/>
                <w:color w:val="auto"/>
                <w:spacing w:val="0"/>
                <w:sz w:val="24"/>
                <w:highlight w:val="none"/>
                <w:lang w:val="en-US" w:eastAsia="zh-CN"/>
              </w:rPr>
              <w:t>5</w:t>
            </w:r>
            <w:r>
              <w:rPr>
                <w:color w:val="auto"/>
                <w:spacing w:val="0"/>
                <w:sz w:val="24"/>
                <w:highlight w:val="none"/>
              </w:rPr>
              <w:t>人，全年运行365d，则运营期生活垃圾产生量为</w:t>
            </w:r>
            <w:r>
              <w:rPr>
                <w:rFonts w:hint="eastAsia"/>
                <w:color w:val="auto"/>
                <w:spacing w:val="0"/>
                <w:sz w:val="24"/>
                <w:highlight w:val="none"/>
                <w:lang w:val="en-US" w:eastAsia="zh-CN"/>
              </w:rPr>
              <w:t>2.5</w:t>
            </w:r>
            <w:r>
              <w:rPr>
                <w:color w:val="auto"/>
                <w:spacing w:val="0"/>
                <w:sz w:val="24"/>
                <w:highlight w:val="none"/>
              </w:rPr>
              <w:t>kg/d，</w:t>
            </w:r>
            <w:r>
              <w:rPr>
                <w:rFonts w:hint="eastAsia"/>
                <w:color w:val="auto"/>
                <w:spacing w:val="0"/>
                <w:sz w:val="24"/>
                <w:highlight w:val="none"/>
                <w:lang w:val="en-US" w:eastAsia="zh-CN"/>
              </w:rPr>
              <w:t>0.913</w:t>
            </w:r>
            <w:r>
              <w:rPr>
                <w:color w:val="auto"/>
                <w:spacing w:val="0"/>
                <w:sz w:val="24"/>
                <w:highlight w:val="none"/>
              </w:rPr>
              <w:t>t/a，经集中收集后交环卫部门统一处理</w:t>
            </w:r>
            <w:r>
              <w:rPr>
                <w:rFonts w:hint="eastAsia"/>
                <w:color w:val="auto"/>
                <w:spacing w:val="0"/>
                <w:sz w:val="24"/>
                <w:highlight w:val="none"/>
                <w:lang w:eastAsia="zh-CN"/>
              </w:rPr>
              <w:t>。</w:t>
            </w:r>
          </w:p>
          <w:p>
            <w:pPr>
              <w:keepLines w:val="0"/>
              <w:pageBreakBefore w:val="0"/>
              <w:kinsoku/>
              <w:wordWrap/>
              <w:overflowPunct/>
              <w:topLinePunct w:val="0"/>
              <w:bidi w:val="0"/>
              <w:adjustRightInd w:val="0"/>
              <w:snapToGrid w:val="0"/>
              <w:spacing w:line="360" w:lineRule="auto"/>
              <w:ind w:firstLine="480" w:firstLineChars="200"/>
              <w:rPr>
                <w:color w:val="auto"/>
                <w:spacing w:val="0"/>
                <w:sz w:val="24"/>
                <w:highlight w:val="none"/>
              </w:rPr>
            </w:pPr>
            <w:r>
              <w:rPr>
                <w:color w:val="auto"/>
                <w:spacing w:val="0"/>
                <w:sz w:val="24"/>
                <w:highlight w:val="none"/>
              </w:rPr>
              <w:t>储油罐专罐专用，罐体约</w:t>
            </w:r>
            <w:r>
              <w:rPr>
                <w:rFonts w:hint="eastAsia"/>
                <w:color w:val="auto"/>
                <w:spacing w:val="0"/>
                <w:sz w:val="24"/>
                <w:highlight w:val="none"/>
              </w:rPr>
              <w:t>三至五年</w:t>
            </w:r>
            <w:r>
              <w:rPr>
                <w:color w:val="auto"/>
                <w:spacing w:val="0"/>
                <w:sz w:val="24"/>
                <w:highlight w:val="none"/>
              </w:rPr>
              <w:t>清理一次，</w:t>
            </w:r>
            <w:r>
              <w:rPr>
                <w:rFonts w:hint="eastAsia"/>
                <w:color w:val="auto"/>
                <w:spacing w:val="0"/>
                <w:sz w:val="24"/>
                <w:highlight w:val="none"/>
                <w:lang w:val="en-US" w:eastAsia="zh-CN"/>
              </w:rPr>
              <w:t>由于项目属于新建，暂时还未产生该类危险物质，在清理该物质时，</w:t>
            </w:r>
            <w:r>
              <w:rPr>
                <w:color w:val="auto"/>
                <w:spacing w:val="0"/>
                <w:sz w:val="24"/>
                <w:highlight w:val="none"/>
              </w:rPr>
              <w:t>建设单位</w:t>
            </w:r>
            <w:r>
              <w:rPr>
                <w:rFonts w:hint="eastAsia"/>
                <w:color w:val="auto"/>
                <w:spacing w:val="0"/>
                <w:sz w:val="24"/>
                <w:highlight w:val="none"/>
                <w:lang w:val="en-US" w:eastAsia="zh-CN"/>
              </w:rPr>
              <w:t>应</w:t>
            </w:r>
            <w:r>
              <w:rPr>
                <w:color w:val="auto"/>
                <w:spacing w:val="0"/>
                <w:sz w:val="24"/>
                <w:highlight w:val="none"/>
              </w:rPr>
              <w:t>委托具有清洗资质的专业单位负责进行专业清洗</w:t>
            </w:r>
            <w:r>
              <w:rPr>
                <w:rFonts w:hint="eastAsia"/>
                <w:color w:val="auto"/>
                <w:spacing w:val="0"/>
                <w:sz w:val="24"/>
                <w:highlight w:val="none"/>
                <w:lang w:eastAsia="zh-CN"/>
              </w:rPr>
              <w:t>，</w:t>
            </w:r>
            <w:r>
              <w:rPr>
                <w:color w:val="auto"/>
                <w:spacing w:val="0"/>
                <w:sz w:val="24"/>
                <w:highlight w:val="none"/>
              </w:rPr>
              <w:t>不得在遗留在站内，站内不设置危险废物暂存间。</w:t>
            </w:r>
          </w:p>
          <w:p>
            <w:pPr>
              <w:pStyle w:val="5"/>
              <w:keepLines w:val="0"/>
              <w:pageBreakBefore w:val="0"/>
              <w:kinsoku/>
              <w:wordWrap/>
              <w:overflowPunct/>
              <w:topLinePunct w:val="0"/>
              <w:bidi w:val="0"/>
              <w:spacing w:after="0" w:line="360" w:lineRule="auto"/>
              <w:ind w:left="0" w:leftChars="0" w:firstLine="480" w:firstLineChars="200"/>
              <w:rPr>
                <w:rFonts w:hint="eastAsia"/>
                <w:color w:val="auto"/>
                <w:spacing w:val="0"/>
                <w:sz w:val="24"/>
                <w:highlight w:val="none"/>
                <w:lang w:eastAsia="zh-CN"/>
              </w:rPr>
            </w:pPr>
            <w:r>
              <w:rPr>
                <w:rFonts w:hint="default" w:ascii="Times New Roman" w:hAnsi="Times New Roman" w:eastAsia="宋体" w:cs="Times New Roman"/>
                <w:color w:val="auto"/>
                <w:spacing w:val="0"/>
                <w:kern w:val="2"/>
                <w:sz w:val="24"/>
                <w:szCs w:val="24"/>
                <w:highlight w:val="none"/>
                <w:lang w:val="en-US" w:eastAsia="zh-CN" w:bidi="ar-SA"/>
              </w:rPr>
              <w:t>本项目</w:t>
            </w:r>
            <w:r>
              <w:rPr>
                <w:rFonts w:hint="eastAsia" w:hAnsi="Times New Roman" w:cs="Times New Roman"/>
                <w:color w:val="auto"/>
                <w:spacing w:val="0"/>
                <w:kern w:val="2"/>
                <w:sz w:val="24"/>
                <w:szCs w:val="24"/>
                <w:highlight w:val="none"/>
                <w:lang w:val="en-US" w:eastAsia="zh-CN" w:bidi="ar-SA"/>
              </w:rPr>
              <w:t>验收阶段较环评阶段的固体废物排放量减少，</w:t>
            </w:r>
            <w:r>
              <w:rPr>
                <w:rFonts w:hint="default" w:ascii="Times New Roman" w:hAnsi="Times New Roman" w:eastAsia="宋体" w:cs="Times New Roman"/>
                <w:color w:val="auto"/>
                <w:spacing w:val="0"/>
                <w:kern w:val="2"/>
                <w:sz w:val="24"/>
                <w:szCs w:val="24"/>
                <w:highlight w:val="none"/>
                <w:lang w:val="en-US" w:eastAsia="zh-CN" w:bidi="ar-SA"/>
              </w:rPr>
              <w:t>落实了以上的</w:t>
            </w:r>
            <w:r>
              <w:rPr>
                <w:rFonts w:hint="eastAsia" w:ascii="Times New Roman" w:hAnsi="Times New Roman" w:cs="Times New Roman"/>
                <w:color w:val="auto"/>
                <w:spacing w:val="0"/>
                <w:kern w:val="2"/>
                <w:sz w:val="24"/>
                <w:szCs w:val="24"/>
                <w:highlight w:val="none"/>
                <w:lang w:val="en-US" w:eastAsia="zh-CN" w:bidi="ar-SA"/>
              </w:rPr>
              <w:t>固体废物</w:t>
            </w:r>
            <w:r>
              <w:rPr>
                <w:rFonts w:hint="default" w:ascii="Times New Roman" w:hAnsi="Times New Roman" w:eastAsia="宋体" w:cs="Times New Roman"/>
                <w:color w:val="auto"/>
                <w:spacing w:val="0"/>
                <w:kern w:val="2"/>
                <w:sz w:val="24"/>
                <w:szCs w:val="24"/>
                <w:highlight w:val="none"/>
                <w:lang w:val="en-US" w:eastAsia="zh-CN" w:bidi="ar-SA"/>
              </w:rPr>
              <w:t>处理措施，</w:t>
            </w:r>
            <w:r>
              <w:rPr>
                <w:rFonts w:hint="eastAsia" w:ascii="Times New Roman" w:hAnsi="Times New Roman" w:cs="Times New Roman"/>
                <w:color w:val="auto"/>
                <w:spacing w:val="0"/>
                <w:kern w:val="2"/>
                <w:sz w:val="24"/>
                <w:szCs w:val="24"/>
                <w:highlight w:val="none"/>
                <w:lang w:val="en-US" w:eastAsia="zh-CN" w:bidi="ar-SA"/>
              </w:rPr>
              <w:t>固体废物</w:t>
            </w:r>
            <w:r>
              <w:rPr>
                <w:rFonts w:hint="default" w:ascii="Times New Roman" w:hAnsi="Times New Roman" w:eastAsia="宋体" w:cs="Times New Roman"/>
                <w:color w:val="auto"/>
                <w:spacing w:val="0"/>
                <w:kern w:val="2"/>
                <w:sz w:val="24"/>
                <w:szCs w:val="24"/>
                <w:highlight w:val="none"/>
                <w:lang w:val="en-US" w:eastAsia="zh-CN" w:bidi="ar-SA"/>
              </w:rPr>
              <w:t>得到了合理处置，对区域环境影响较小。</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3.2环保设施投资及“三同时”落实情况</w:t>
            </w:r>
          </w:p>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3.2.1环保设施投资情况</w:t>
            </w:r>
          </w:p>
          <w:p>
            <w:pPr>
              <w:pStyle w:val="21"/>
              <w:keepLines w:val="0"/>
              <w:pageBreakBefore w:val="0"/>
              <w:kinsoku/>
              <w:wordWrap/>
              <w:overflowPunct/>
              <w:topLinePunct w:val="0"/>
              <w:bidi w:val="0"/>
              <w:spacing w:after="0" w:line="360" w:lineRule="auto"/>
              <w:ind w:firstLine="480" w:firstLineChars="200"/>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根据现场实际调查可知，本项目环境保护措施及环保投资汇总见表3-1，</w:t>
            </w:r>
            <w:r>
              <w:rPr>
                <w:rFonts w:hint="default" w:ascii="Times New Roman" w:hAnsi="Times New Roman" w:eastAsia="宋体" w:cs="Times New Roman"/>
                <w:color w:val="000000" w:themeColor="text1"/>
                <w:spacing w:val="0"/>
                <w:sz w:val="24"/>
                <w:highlight w:val="none"/>
                <w14:textFill>
                  <w14:solidFill>
                    <w14:schemeClr w14:val="tx1"/>
                  </w14:solidFill>
                </w14:textFill>
              </w:rPr>
              <w:t>本项目单座加油站投资为</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1200</w:t>
            </w:r>
            <w:r>
              <w:rPr>
                <w:rFonts w:hint="default" w:ascii="Times New Roman" w:hAnsi="Times New Roman" w:eastAsia="宋体" w:cs="Times New Roman"/>
                <w:color w:val="000000" w:themeColor="text1"/>
                <w:spacing w:val="0"/>
                <w:sz w:val="24"/>
                <w:highlight w:val="none"/>
                <w14:textFill>
                  <w14:solidFill>
                    <w14:schemeClr w14:val="tx1"/>
                  </w14:solidFill>
                </w14:textFill>
              </w:rPr>
              <w:t>万元，AB两座加油站总投资</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pacing w:val="0"/>
                <w:sz w:val="24"/>
                <w:highlight w:val="none"/>
                <w14:textFill>
                  <w14:solidFill>
                    <w14:schemeClr w14:val="tx1"/>
                  </w14:solidFill>
                </w14:textFill>
              </w:rPr>
              <w:t>400万元</w:t>
            </w:r>
            <w:r>
              <w:rPr>
                <w:rFonts w:hint="default" w:ascii="Times New Roman" w:hAnsi="Times New Roman" w:eastAsia="宋体" w:cs="Times New Roman"/>
                <w:color w:val="000000" w:themeColor="text1"/>
                <w:spacing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项目环评阶段</w:t>
            </w:r>
            <w:r>
              <w:rPr>
                <w:rFonts w:hint="default" w:ascii="Times New Roman" w:hAnsi="Times New Roman" w:eastAsia="宋体" w:cs="Times New Roman"/>
                <w:color w:val="000000" w:themeColor="text1"/>
                <w:spacing w:val="0"/>
                <w:sz w:val="24"/>
                <w:highlight w:val="none"/>
                <w14:textFill>
                  <w14:solidFill>
                    <w14:schemeClr w14:val="tx1"/>
                  </w14:solidFill>
                </w14:textFill>
              </w:rPr>
              <w:t>单座加油站环保投资</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41.1</w:t>
            </w:r>
            <w:r>
              <w:rPr>
                <w:rFonts w:hint="default" w:ascii="Times New Roman" w:hAnsi="Times New Roman" w:eastAsia="宋体" w:cs="Times New Roman"/>
                <w:color w:val="000000" w:themeColor="text1"/>
                <w:spacing w:val="0"/>
                <w:sz w:val="24"/>
                <w:highlight w:val="none"/>
                <w14:textFill>
                  <w14:solidFill>
                    <w14:schemeClr w14:val="tx1"/>
                  </w14:solidFill>
                </w14:textFill>
              </w:rPr>
              <w:t>万元</w:t>
            </w:r>
            <w:r>
              <w:rPr>
                <w:rFonts w:hint="default" w:ascii="Times New Roman" w:hAnsi="Times New Roman" w:eastAsia="宋体" w:cs="Times New Roman"/>
                <w:color w:val="000000" w:themeColor="text1"/>
                <w:spacing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0"/>
                <w:sz w:val="24"/>
                <w:highlight w:val="none"/>
                <w14:textFill>
                  <w14:solidFill>
                    <w14:schemeClr w14:val="tx1"/>
                  </w14:solidFill>
                </w14:textFill>
              </w:rPr>
              <w:t>AB两座加油站总</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环保投资</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82.2</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元，</w:t>
            </w:r>
            <w:r>
              <w:rPr>
                <w:rFonts w:hint="default" w:ascii="Times New Roman" w:hAnsi="Times New Roman" w:eastAsia="宋体" w:cs="Times New Roman"/>
                <w:color w:val="000000" w:themeColor="text1"/>
                <w:spacing w:val="0"/>
                <w:sz w:val="24"/>
                <w:highlight w:val="none"/>
                <w14:textFill>
                  <w14:solidFill>
                    <w14:schemeClr w14:val="tx1"/>
                  </w14:solidFill>
                </w14:textFill>
              </w:rPr>
              <w:t>占项目总投资的</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3.4</w:t>
            </w:r>
            <w:r>
              <w:rPr>
                <w:rFonts w:hint="default" w:ascii="Times New Roman" w:hAnsi="Times New Roman" w:eastAsia="宋体" w:cs="Times New Roman"/>
                <w:color w:val="000000" w:themeColor="text1"/>
                <w:spacing w:val="0"/>
                <w:sz w:val="24"/>
                <w:highlight w:val="none"/>
                <w14:textFill>
                  <w14:solidFill>
                    <w14:schemeClr w14:val="tx1"/>
                  </w14:solidFill>
                </w14:textFill>
              </w:rPr>
              <w:t>%</w:t>
            </w:r>
            <w:r>
              <w:rPr>
                <w:rFonts w:hint="default" w:ascii="Times New Roman" w:hAnsi="Times New Roman" w:eastAsia="宋体" w:cs="Times New Roman"/>
                <w:color w:val="000000" w:themeColor="text1"/>
                <w:spacing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验收时总投资实际为</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101.4</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万元，占项目总投资的</w:t>
            </w:r>
            <w:r>
              <w:rPr>
                <w:rFonts w:hint="eastAsia" w:ascii="Times New Roman" w:hAnsi="Times New Roman" w:eastAsia="宋体" w:cs="Times New Roman"/>
                <w:color w:val="000000" w:themeColor="text1"/>
                <w:spacing w:val="0"/>
                <w:sz w:val="24"/>
                <w:highlight w:val="none"/>
                <w:lang w:val="en-US" w:eastAsia="zh-CN"/>
                <w14:textFill>
                  <w14:solidFill>
                    <w14:schemeClr w14:val="tx1"/>
                  </w14:solidFill>
                </w14:textFill>
              </w:rPr>
              <w:t>4.23</w:t>
            </w: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w:t>
            </w:r>
          </w:p>
          <w:p>
            <w:pPr>
              <w:pStyle w:val="27"/>
              <w:keepLines w:val="0"/>
              <w:pageBreakBefore w:val="0"/>
              <w:kinsoku/>
              <w:wordWrap/>
              <w:overflowPunct/>
              <w:topLinePunct w:val="0"/>
              <w:bidi w:val="0"/>
              <w:spacing w:line="360" w:lineRule="auto"/>
              <w:ind w:firstLine="482" w:firstLineChars="200"/>
              <w:jc w:val="center"/>
              <w:rPr>
                <w:rFonts w:hint="default" w:ascii="Times New Roman" w:hAnsi="Times New Roman" w:eastAsia="宋体" w:cs="Times New Roman"/>
                <w:b/>
                <w:bCs/>
                <w:color w:val="000000" w:themeColor="text1"/>
                <w:spacing w:val="0"/>
                <w:sz w:val="24"/>
                <w:szCs w:val="24"/>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pacing w:val="0"/>
                <w:sz w:val="24"/>
                <w:szCs w:val="24"/>
                <w:highlight w:val="none"/>
                <w:vertAlign w:val="baseline"/>
                <w:lang w:val="en-US" w:eastAsia="zh-CN"/>
                <w14:textFill>
                  <w14:solidFill>
                    <w14:schemeClr w14:val="tx1"/>
                  </w14:solidFill>
                </w14:textFill>
              </w:rPr>
              <w:t>表3-1      环保投资明细表（单座加油站）        单位：万元</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47"/>
              <w:gridCol w:w="1194"/>
              <w:gridCol w:w="1177"/>
              <w:gridCol w:w="2540"/>
              <w:gridCol w:w="1058"/>
              <w:gridCol w:w="1009"/>
              <w:gridCol w:w="888"/>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17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分类</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污染源</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环保措施</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投资金额</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（万元）</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
                      <w:sz w:val="21"/>
                      <w:szCs w:val="21"/>
                      <w:highlight w:val="none"/>
                      <w:lang w:val="en-US" w:eastAsia="zh-CN" w:bidi="ar-SA"/>
                    </w:rPr>
                  </w:pPr>
                  <w:r>
                    <w:rPr>
                      <w:rFonts w:hint="default" w:ascii="Times New Roman" w:hAnsi="Times New Roman" w:eastAsia="宋体" w:cs="Times New Roman"/>
                      <w:color w:val="auto"/>
                      <w:spacing w:val="0"/>
                      <w:sz w:val="21"/>
                      <w:szCs w:val="21"/>
                      <w:highlight w:val="none"/>
                      <w:lang w:val="en-US" w:eastAsia="zh-CN"/>
                    </w:rPr>
                    <w:t>验收阶段投资额（万元）</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pacing w:val="0"/>
                      <w:kern w:val="2"/>
                      <w:sz w:val="21"/>
                      <w:szCs w:val="21"/>
                      <w:highlight w:val="none"/>
                      <w:lang w:val="en-US" w:eastAsia="zh-CN" w:bidi="ar-SA"/>
                    </w:rPr>
                  </w:pPr>
                  <w:r>
                    <w:rPr>
                      <w:rFonts w:hint="default" w:ascii="Times New Roman" w:hAnsi="Times New Roman" w:eastAsia="宋体" w:cs="Times New Roman"/>
                      <w:color w:val="auto"/>
                      <w:spacing w:val="0"/>
                      <w:sz w:val="21"/>
                      <w:szCs w:val="21"/>
                      <w:highlight w:val="none"/>
                    </w:rPr>
                    <w:t>备注</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施</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r>
                    <w:rPr>
                      <w:b/>
                      <w:bCs/>
                      <w:color w:val="auto"/>
                      <w:spacing w:val="0"/>
                      <w:szCs w:val="21"/>
                      <w:highlight w:val="none"/>
                    </w:rPr>
                    <w:t>期</w:t>
                  </w: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废水</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施工、生活</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1m</w:t>
                  </w:r>
                  <w:r>
                    <w:rPr>
                      <w:color w:val="auto"/>
                      <w:spacing w:val="0"/>
                      <w:szCs w:val="21"/>
                      <w:highlight w:val="none"/>
                      <w:vertAlign w:val="superscript"/>
                    </w:rPr>
                    <w:t>3</w:t>
                  </w:r>
                  <w:r>
                    <w:rPr>
                      <w:color w:val="auto"/>
                      <w:spacing w:val="0"/>
                      <w:szCs w:val="21"/>
                      <w:highlight w:val="none"/>
                    </w:rPr>
                    <w:t>隔油池、3m</w:t>
                  </w:r>
                  <w:r>
                    <w:rPr>
                      <w:color w:val="auto"/>
                      <w:spacing w:val="0"/>
                      <w:szCs w:val="21"/>
                      <w:highlight w:val="none"/>
                      <w:vertAlign w:val="superscript"/>
                    </w:rPr>
                    <w:t>3</w:t>
                  </w:r>
                  <w:r>
                    <w:rPr>
                      <w:color w:val="auto"/>
                      <w:spacing w:val="0"/>
                      <w:szCs w:val="21"/>
                      <w:highlight w:val="none"/>
                    </w:rPr>
                    <w:t>沉淀池、旱厕1座</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2.5</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3</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废气</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扬尘治理</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车辆及施工材料加遮盖物、施工场地洒水抑尘</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1.6</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1.6</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固废</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施工、生活</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生活垃圾回收、清运</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1.0</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1</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噪声</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施工器械</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围栏、隔声等</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1.5</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1.5</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r>
                    <w:rPr>
                      <w:b/>
                      <w:color w:val="auto"/>
                      <w:spacing w:val="0"/>
                      <w:szCs w:val="21"/>
                      <w:highlight w:val="none"/>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r>
                    <w:rPr>
                      <w:b/>
                      <w:color w:val="auto"/>
                      <w:spacing w:val="0"/>
                      <w:szCs w:val="21"/>
                      <w:highlight w:val="none"/>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r>
                    <w:rPr>
                      <w:b/>
                      <w:color w:val="auto"/>
                      <w:spacing w:val="0"/>
                      <w:szCs w:val="21"/>
                      <w:highlight w:val="none"/>
                    </w:rPr>
                    <w:t>期</w:t>
                  </w:r>
                </w:p>
              </w:tc>
              <w:tc>
                <w:tcPr>
                  <w:tcW w:w="685"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废气</w:t>
                  </w: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卸油</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一次油气回收系统，处理效率95%</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3.0</w:t>
                  </w:r>
                </w:p>
              </w:tc>
              <w:tc>
                <w:tcPr>
                  <w:tcW w:w="579"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9</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加油</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二次油气回收系统，处理效率90%</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2.0</w:t>
                  </w:r>
                </w:p>
              </w:tc>
              <w:tc>
                <w:tcPr>
                  <w:tcW w:w="579"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储存</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冷凝式油气回收装置+</w:t>
                  </w:r>
                  <w:r>
                    <w:rPr>
                      <w:rFonts w:hint="eastAsia"/>
                      <w:color w:val="auto"/>
                      <w:spacing w:val="0"/>
                      <w:szCs w:val="21"/>
                      <w:highlight w:val="none"/>
                    </w:rPr>
                    <w:t>4</w:t>
                  </w:r>
                  <w:r>
                    <w:rPr>
                      <w:color w:val="auto"/>
                      <w:spacing w:val="0"/>
                      <w:szCs w:val="21"/>
                      <w:highlight w:val="none"/>
                    </w:rPr>
                    <w:t>m高排气筒排放</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2.0</w:t>
                  </w:r>
                </w:p>
              </w:tc>
              <w:tc>
                <w:tcPr>
                  <w:tcW w:w="579"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6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LNG卸车和蒸发废气</w:t>
                  </w:r>
                </w:p>
              </w:tc>
              <w:tc>
                <w:tcPr>
                  <w:tcW w:w="145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一套BOG回收撬</w:t>
                  </w:r>
                  <w:r>
                    <w:rPr>
                      <w:color w:val="auto"/>
                      <w:spacing w:val="0"/>
                      <w:szCs w:val="21"/>
                      <w:highlight w:val="none"/>
                    </w:rPr>
                    <w:t>（50Nm</w:t>
                  </w:r>
                  <w:r>
                    <w:rPr>
                      <w:color w:val="auto"/>
                      <w:spacing w:val="0"/>
                      <w:szCs w:val="21"/>
                      <w:highlight w:val="none"/>
                      <w:vertAlign w:val="superscript"/>
                    </w:rPr>
                    <w:t>3</w:t>
                  </w:r>
                  <w:r>
                    <w:rPr>
                      <w:color w:val="auto"/>
                      <w:spacing w:val="0"/>
                      <w:szCs w:val="21"/>
                      <w:highlight w:val="none"/>
                    </w:rPr>
                    <w:t>/h）</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5.0</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7</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废水</w:t>
                  </w: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生产废水：委托有资质的单位清洗储油罐</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6</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0</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生活污水：1座10m</w:t>
                  </w:r>
                  <w:r>
                    <w:rPr>
                      <w:rFonts w:hint="eastAsia"/>
                      <w:color w:val="auto"/>
                      <w:spacing w:val="0"/>
                      <w:szCs w:val="21"/>
                      <w:highlight w:val="none"/>
                      <w:vertAlign w:val="superscript"/>
                    </w:rPr>
                    <w:t>3</w:t>
                  </w:r>
                  <w:r>
                    <w:rPr>
                      <w:rFonts w:hint="eastAsia"/>
                      <w:color w:val="auto"/>
                      <w:spacing w:val="0"/>
                      <w:szCs w:val="21"/>
                      <w:highlight w:val="none"/>
                    </w:rPr>
                    <w:t>化粪池</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1.4</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2</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噪声</w:t>
                  </w: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pacing w:val="0"/>
                      <w:szCs w:val="21"/>
                      <w:highlight w:val="none"/>
                    </w:rPr>
                  </w:pPr>
                  <w:r>
                    <w:rPr>
                      <w:color w:val="auto"/>
                      <w:spacing w:val="0"/>
                      <w:szCs w:val="21"/>
                      <w:highlight w:val="none"/>
                    </w:rPr>
                    <w:t>选取低噪声设备，采取隔声降噪措施，禁鸣笛、减速牌</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2.0</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2</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固废</w:t>
                  </w: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bCs/>
                      <w:color w:val="auto"/>
                      <w:spacing w:val="0"/>
                      <w:szCs w:val="21"/>
                      <w:highlight w:val="none"/>
                    </w:rPr>
                    <w:t>垃圾箱5个</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0.6</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0.6</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6"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p>
              </w:tc>
              <w:tc>
                <w:tcPr>
                  <w:tcW w:w="68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风险防范措施</w:t>
                  </w: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加油</w:t>
                  </w:r>
                  <w:r>
                    <w:rPr>
                      <w:rFonts w:hint="eastAsia"/>
                      <w:color w:val="auto"/>
                      <w:spacing w:val="0"/>
                      <w:szCs w:val="21"/>
                      <w:highlight w:val="none"/>
                    </w:rPr>
                    <w:t>加气</w:t>
                  </w:r>
                  <w:r>
                    <w:rPr>
                      <w:color w:val="auto"/>
                      <w:spacing w:val="0"/>
                      <w:szCs w:val="21"/>
                      <w:highlight w:val="none"/>
                    </w:rPr>
                    <w:t>站地面防渗</w:t>
                  </w:r>
                  <w:r>
                    <w:rPr>
                      <w:bCs/>
                      <w:color w:val="auto"/>
                      <w:spacing w:val="0"/>
                      <w:szCs w:val="21"/>
                      <w:highlight w:val="none"/>
                    </w:rPr>
                    <w:t>，储罐底部进行防渗处理</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11.0</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15</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17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pacing w:val="0"/>
                      <w:szCs w:val="21"/>
                      <w:highlight w:val="none"/>
                    </w:rPr>
                  </w:pPr>
                  <w:r>
                    <w:rPr>
                      <w:b/>
                      <w:color w:val="auto"/>
                      <w:spacing w:val="0"/>
                      <w:szCs w:val="21"/>
                      <w:highlight w:val="none"/>
                    </w:rPr>
                    <w:t>绿化</w:t>
                  </w:r>
                </w:p>
              </w:tc>
              <w:tc>
                <w:tcPr>
                  <w:tcW w:w="2131"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厂区绿化</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1.5</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2</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Theme="minorEastAsia"/>
                      <w:color w:val="auto"/>
                      <w:spacing w:val="0"/>
                      <w:szCs w:val="21"/>
                      <w:highlight w:val="none"/>
                      <w:lang w:val="en-US" w:eastAsia="zh-CN"/>
                    </w:rPr>
                  </w:pPr>
                  <w:r>
                    <w:rPr>
                      <w:rFonts w:hint="eastAsia"/>
                      <w:color w:val="auto"/>
                      <w:spacing w:val="0"/>
                      <w:szCs w:val="21"/>
                      <w:highlight w:val="none"/>
                      <w:lang w:val="en-US" w:eastAsia="zh-CN"/>
                    </w:rPr>
                    <w:t>/</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303" w:type="pct"/>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color w:val="auto"/>
                      <w:spacing w:val="0"/>
                      <w:szCs w:val="21"/>
                      <w:highlight w:val="none"/>
                    </w:rPr>
                    <w:t>合计</w:t>
                  </w:r>
                </w:p>
              </w:tc>
              <w:tc>
                <w:tcPr>
                  <w:tcW w:w="6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pacing w:val="0"/>
                      <w:szCs w:val="21"/>
                      <w:highlight w:val="none"/>
                    </w:rPr>
                  </w:pPr>
                  <w:r>
                    <w:rPr>
                      <w:rFonts w:hint="eastAsia"/>
                      <w:color w:val="auto"/>
                      <w:spacing w:val="0"/>
                      <w:szCs w:val="21"/>
                      <w:highlight w:val="none"/>
                    </w:rPr>
                    <w:t>41.1</w:t>
                  </w:r>
                </w:p>
              </w:tc>
              <w:tc>
                <w:tcPr>
                  <w:tcW w:w="5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Theme="minorEastAsia"/>
                      <w:color w:val="auto"/>
                      <w:spacing w:val="0"/>
                      <w:szCs w:val="21"/>
                      <w:highlight w:val="none"/>
                      <w:lang w:val="en-US" w:eastAsia="zh-CN"/>
                    </w:rPr>
                  </w:pPr>
                  <w:r>
                    <w:rPr>
                      <w:rFonts w:hint="eastAsia"/>
                      <w:color w:val="auto"/>
                      <w:spacing w:val="0"/>
                      <w:szCs w:val="21"/>
                      <w:highlight w:val="none"/>
                      <w:lang w:val="en-US" w:eastAsia="zh-CN"/>
                    </w:rPr>
                    <w:t>50.7</w:t>
                  </w:r>
                </w:p>
              </w:tc>
              <w:tc>
                <w:tcPr>
                  <w:tcW w:w="50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pacing w:val="0"/>
                      <w:szCs w:val="21"/>
                      <w:highlight w:val="none"/>
                    </w:rPr>
                  </w:pPr>
                </w:p>
              </w:tc>
            </w:tr>
          </w:tbl>
          <w:p>
            <w:pPr>
              <w:keepLines w:val="0"/>
              <w:pageBreakBefore w:val="0"/>
              <w:kinsoku/>
              <w:wordWrap/>
              <w:overflowPunct/>
              <w:topLinePunct w:val="0"/>
              <w:bidi w:val="0"/>
              <w:adjustRightInd w:val="0"/>
              <w:snapToGrid w:val="0"/>
              <w:spacing w:line="360" w:lineRule="auto"/>
              <w:ind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3.3.2“三同时”落实情况</w:t>
            </w:r>
          </w:p>
          <w:p>
            <w:pPr>
              <w:pStyle w:val="21"/>
              <w:keepLines w:val="0"/>
              <w:pageBreakBefore w:val="0"/>
              <w:kinsoku/>
              <w:wordWrap/>
              <w:overflowPunct/>
              <w:topLinePunct w:val="0"/>
              <w:bidi w:val="0"/>
              <w:spacing w:after="0" w:line="360" w:lineRule="auto"/>
              <w:ind w:firstLine="480" w:firstLineChars="200"/>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经检查该项目的环保档案基本齐全，项目立项、环评初设等审批手续齐全，项目投资基本到位。该项目是一个环保建设工程，在项目的建设过程中环保设施与主体工程基本做到了“三同时”。验收清单见表3-2。</w:t>
            </w:r>
          </w:p>
          <w:p>
            <w:pPr>
              <w:pStyle w:val="21"/>
              <w:keepLines w:val="0"/>
              <w:pageBreakBefore w:val="0"/>
              <w:kinsoku/>
              <w:wordWrap/>
              <w:overflowPunct/>
              <w:topLinePunct w:val="0"/>
              <w:bidi w:val="0"/>
              <w:spacing w:after="0" w:line="360" w:lineRule="auto"/>
              <w:ind w:firstLine="480" w:firstLineChars="200"/>
              <w:rPr>
                <w:rFonts w:hint="eastAsia" w:ascii="Times New Roman" w:cs="Times New Roman" w:hAnsiTheme="minorEastAsia"/>
                <w:color w:val="000000" w:themeColor="text1"/>
                <w:spacing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4"/>
                <w:highlight w:val="none"/>
                <w:lang w:val="en-US" w:eastAsia="zh-CN"/>
                <w14:textFill>
                  <w14:solidFill>
                    <w14:schemeClr w14:val="tx1"/>
                  </w14:solidFill>
                </w14:textFill>
              </w:rPr>
              <w:t>根据现场实际调查以及对照上表的信息进行对照得出：实际建设中，本项目基本落实了各项环保措施；在废气、废水、噪声和固废方面的措施做到了有效的防治措施。</w:t>
            </w:r>
          </w:p>
          <w:p>
            <w:pPr>
              <w:keepLines w:val="0"/>
              <w:pageBreakBefore w:val="0"/>
              <w:kinsoku/>
              <w:wordWrap/>
              <w:overflowPunct/>
              <w:topLinePunct w:val="0"/>
              <w:bidi w:val="0"/>
              <w:adjustRightInd w:val="0"/>
              <w:snapToGrid w:val="0"/>
              <w:spacing w:line="360" w:lineRule="auto"/>
              <w:ind w:firstLine="482" w:firstLineChars="200"/>
              <w:contextualSpacing/>
              <w:jc w:val="center"/>
              <w:rPr>
                <w:rFonts w:hint="eastAsia" w:ascii="Times New Roman" w:cs="Times New Roman" w:hAnsiTheme="minorEastAsia"/>
                <w:color w:val="000000" w:themeColor="text1"/>
                <w:spacing w:val="0"/>
                <w:sz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表3-2    项目环保“三同时”验收一览表</w:t>
            </w:r>
          </w:p>
          <w:tbl>
            <w:tblPr>
              <w:tblStyle w:val="22"/>
              <w:tblW w:w="8716" w:type="dxa"/>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42"/>
              <w:gridCol w:w="655"/>
              <w:gridCol w:w="1066"/>
              <w:gridCol w:w="1453"/>
              <w:gridCol w:w="3959"/>
              <w:gridCol w:w="1141"/>
            </w:tblGrid>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5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项目</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来源</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环评阶段</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内容</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验收</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阶段内容</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26"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期</w:t>
                  </w:r>
                </w:p>
              </w:tc>
              <w:tc>
                <w:tcPr>
                  <w:tcW w:w="6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大气环境</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储罐、卸油、加油</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一次、二次油气回收系统，冷凝式油气回收装置+4m高排气筒排放</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根据调查，设置了</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油气回收系统</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及</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4m高排气筒</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，根据监测结果，</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污染物排放满足《加油站大气污染物排放标准》（GB</w:t>
                  </w:r>
                  <w:r>
                    <w:rPr>
                      <w:rFonts w:hint="eastAsia"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20952-2020</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）相关标准</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2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6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声环境</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卸油泵、加油泵、车辆</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隔声、减震、距离衰减，设禁鸣笛、减速牌</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设置了</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隔声、减震、减速标识</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，根据监测内容，</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噪声满足《工业企业厂界环境噪声排放标准》（GB12348-2008）</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中</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2类</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标准要求</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2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6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水环境</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生活</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1座10m</w:t>
                  </w:r>
                  <w:r>
                    <w:rPr>
                      <w:rFonts w:hint="default" w:ascii="Times New Roman" w:hAnsi="Times New Roman" w:eastAsia="宋体" w:cs="Times New Roman"/>
                      <w:color w:val="000000" w:themeColor="text1"/>
                      <w:spacing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化粪池</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及一口地下水井监控</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设置了</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1座容积为10m</w:t>
                  </w:r>
                  <w:r>
                    <w:rPr>
                      <w:rFonts w:hint="default" w:ascii="Times New Roman" w:hAnsi="Times New Roman" w:eastAsia="宋体" w:cs="Times New Roman"/>
                      <w:color w:val="000000" w:themeColor="text1"/>
                      <w:spacing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化粪池</w:t>
                  </w:r>
                  <w:r>
                    <w:rPr>
                      <w:rFonts w:hint="eastAsia" w:ascii="Times New Roman" w:hAnsi="Times New Roman" w:eastAsia="宋体" w:cs="Times New Roman"/>
                      <w:color w:val="000000" w:themeColor="text1"/>
                      <w:spacing w:val="0"/>
                      <w:sz w:val="21"/>
                      <w:szCs w:val="21"/>
                      <w:highlight w:val="none"/>
                      <w:lang w:eastAsia="zh-CN"/>
                      <w14:textFill>
                        <w14:solidFill>
                          <w14:schemeClr w14:val="tx1"/>
                        </w14:solidFill>
                      </w14:textFill>
                    </w:rPr>
                    <w:t>及</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一口地下水井监控</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2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6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固废</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生活垃圾</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垃圾桶</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5个</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无暂存的废油渣</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根据调勘察，生活垃圾进行了</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及时清运</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，厂内无危险</w:t>
                  </w:r>
                  <w: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t>废物存在</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2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p>
              </w:tc>
              <w:tc>
                <w:tcPr>
                  <w:tcW w:w="6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环境风险</w:t>
                  </w:r>
                </w:p>
              </w:tc>
              <w:tc>
                <w:tcPr>
                  <w:tcW w:w="10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油品泄漏</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加油站地面防渗</w:t>
                  </w:r>
                  <w:r>
                    <w:rPr>
                      <w:rFonts w:hint="default" w:ascii="Times New Roman" w:hAnsi="Times New Roman" w:eastAsia="宋体" w:cs="Times New Roman"/>
                      <w:bCs/>
                      <w:color w:val="000000" w:themeColor="text1"/>
                      <w:spacing w:val="0"/>
                      <w:sz w:val="21"/>
                      <w:szCs w:val="21"/>
                      <w:highlight w:val="none"/>
                      <w14:textFill>
                        <w14:solidFill>
                          <w14:schemeClr w14:val="tx1"/>
                        </w14:solidFill>
                      </w14:textFill>
                    </w:rPr>
                    <w:t>，储罐底部进行防渗处理，油罐区护坎</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kern w:val="2"/>
                      <w:sz w:val="21"/>
                      <w:szCs w:val="21"/>
                      <w:highlight w:val="none"/>
                      <w14:textFill>
                        <w14:solidFill>
                          <w14:schemeClr w14:val="tx1"/>
                        </w14:solidFill>
                      </w14:textFill>
                    </w:rPr>
                    <w:t>据现场勘查，</w:t>
                  </w:r>
                  <w:r>
                    <w:rPr>
                      <w:rFonts w:hint="default" w:ascii="Times New Roman" w:hAnsi="Times New Roman" w:eastAsia="宋体" w:cs="Times New Roman"/>
                      <w:color w:val="000000" w:themeColor="text1"/>
                      <w:spacing w:val="0"/>
                      <w:kern w:val="2"/>
                      <w:sz w:val="21"/>
                      <w:szCs w:val="21"/>
                      <w:highlight w:val="none"/>
                      <w:lang w:val="en-US" w:eastAsia="zh-CN" w:bidi="ar-SA"/>
                      <w14:textFill>
                        <w14:solidFill>
                          <w14:schemeClr w14:val="tx1"/>
                        </w14:solidFill>
                      </w14:textFill>
                    </w:rPr>
                    <w:t>储油罐使用双层油罐进行柴油和汽油的存储。油罐外壁为玻璃钢纤维增强材料，油罐内壁为钢制结构；站房和加油岛地面采取水泥硬化进行防渗处理。</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08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厂区绿化</w:t>
                  </w:r>
                </w:p>
              </w:tc>
              <w:tc>
                <w:tcPr>
                  <w:tcW w:w="14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植树种草</w:t>
                  </w:r>
                </w:p>
              </w:tc>
              <w:tc>
                <w:tcPr>
                  <w:tcW w:w="38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pacing w:val="0"/>
                      <w:kern w:val="2"/>
                      <w:sz w:val="21"/>
                      <w:szCs w:val="21"/>
                      <w:highlight w:val="none"/>
                      <w14:textFill>
                        <w14:solidFill>
                          <w14:schemeClr w14:val="tx1"/>
                        </w14:solidFill>
                      </w14:textFill>
                    </w:rPr>
                    <w:t>据现场勘查，</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厂区</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有植树种草</w:t>
                  </w:r>
                </w:p>
              </w:tc>
              <w:tc>
                <w:tcPr>
                  <w:tcW w:w="10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0"/>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一致</w:t>
                  </w:r>
                </w:p>
              </w:tc>
            </w:tr>
          </w:tbl>
          <w:tbl>
            <w:tblPr>
              <w:tblStyle w:val="23"/>
              <w:tblW w:w="8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6"/>
              <w:gridCol w:w="4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3" w:hRule="atLeast"/>
              </w:trPr>
              <w:tc>
                <w:tcPr>
                  <w:tcW w:w="4353"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jc w:val="left"/>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605405" cy="1646555"/>
                        <wp:effectExtent l="0" t="0" r="4445" b="10795"/>
                        <wp:docPr id="3" name="图片 3" descr="微信图片_20231206154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1206154911"/>
                                <pic:cNvPicPr>
                                  <a:picLocks noChangeAspect="1"/>
                                </pic:cNvPicPr>
                              </pic:nvPicPr>
                              <pic:blipFill>
                                <a:blip r:embed="rId27"/>
                                <a:stretch>
                                  <a:fillRect/>
                                </a:stretch>
                              </pic:blipFill>
                              <pic:spPr>
                                <a:xfrm>
                                  <a:off x="0" y="0"/>
                                  <a:ext cx="2605405" cy="1646555"/>
                                </a:xfrm>
                                <a:prstGeom prst="rect">
                                  <a:avLst/>
                                </a:prstGeom>
                              </pic:spPr>
                            </pic:pic>
                          </a:graphicData>
                        </a:graphic>
                      </wp:inline>
                    </w:drawing>
                  </w:r>
                </w:p>
              </w:tc>
              <w:tc>
                <w:tcPr>
                  <w:tcW w:w="4326"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601595" cy="1595120"/>
                        <wp:effectExtent l="0" t="0" r="8255" b="5080"/>
                        <wp:docPr id="4" name="图片 4" descr="微信图片_2023120615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1206154841"/>
                                <pic:cNvPicPr>
                                  <a:picLocks noChangeAspect="1"/>
                                </pic:cNvPicPr>
                              </pic:nvPicPr>
                              <pic:blipFill>
                                <a:blip r:embed="rId28"/>
                                <a:stretch>
                                  <a:fillRect/>
                                </a:stretch>
                              </pic:blipFill>
                              <pic:spPr>
                                <a:xfrm>
                                  <a:off x="0" y="0"/>
                                  <a:ext cx="2601595" cy="15951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exact"/>
              </w:trPr>
              <w:tc>
                <w:tcPr>
                  <w:tcW w:w="4353"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jc w:val="both"/>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626360" cy="1969135"/>
                        <wp:effectExtent l="0" t="0" r="2540" b="12065"/>
                        <wp:docPr id="19" name="图片 19" descr="微信图片_2023120615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微信图片_20231206154851"/>
                                <pic:cNvPicPr>
                                  <a:picLocks noChangeAspect="1"/>
                                </pic:cNvPicPr>
                              </pic:nvPicPr>
                              <pic:blipFill>
                                <a:blip r:embed="rId29"/>
                                <a:stretch>
                                  <a:fillRect/>
                                </a:stretch>
                              </pic:blipFill>
                              <pic:spPr>
                                <a:xfrm>
                                  <a:off x="0" y="0"/>
                                  <a:ext cx="2626360" cy="1969135"/>
                                </a:xfrm>
                                <a:prstGeom prst="rect">
                                  <a:avLst/>
                                </a:prstGeom>
                              </pic:spPr>
                            </pic:pic>
                          </a:graphicData>
                        </a:graphic>
                      </wp:inline>
                    </w:drawing>
                  </w:r>
                </w:p>
              </w:tc>
              <w:tc>
                <w:tcPr>
                  <w:tcW w:w="4326"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jc w:val="both"/>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590800" cy="1605915"/>
                        <wp:effectExtent l="0" t="0" r="0" b="13335"/>
                        <wp:docPr id="7" name="图片 7" descr="微信图片_2024010216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102161601"/>
                                <pic:cNvPicPr>
                                  <a:picLocks noChangeAspect="1"/>
                                </pic:cNvPicPr>
                              </pic:nvPicPr>
                              <pic:blipFill>
                                <a:blip r:embed="rId30"/>
                                <a:stretch>
                                  <a:fillRect/>
                                </a:stretch>
                              </pic:blipFill>
                              <pic:spPr>
                                <a:xfrm>
                                  <a:off x="0" y="0"/>
                                  <a:ext cx="2590800" cy="16059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8" w:hRule="exact"/>
              </w:trPr>
              <w:tc>
                <w:tcPr>
                  <w:tcW w:w="4353"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jc w:val="both"/>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471420" cy="1506220"/>
                        <wp:effectExtent l="0" t="0" r="5080" b="17780"/>
                        <wp:docPr id="1" name="图片 1" descr="微信图片_20240614094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614094750"/>
                                <pic:cNvPicPr>
                                  <a:picLocks noChangeAspect="1"/>
                                </pic:cNvPicPr>
                              </pic:nvPicPr>
                              <pic:blipFill>
                                <a:blip r:embed="rId31"/>
                                <a:stretch>
                                  <a:fillRect/>
                                </a:stretch>
                              </pic:blipFill>
                              <pic:spPr>
                                <a:xfrm>
                                  <a:off x="0" y="0"/>
                                  <a:ext cx="2471420" cy="1506220"/>
                                </a:xfrm>
                                <a:prstGeom prst="rect">
                                  <a:avLst/>
                                </a:prstGeom>
                              </pic:spPr>
                            </pic:pic>
                          </a:graphicData>
                        </a:graphic>
                      </wp:inline>
                    </w:drawing>
                  </w:r>
                </w:p>
              </w:tc>
              <w:tc>
                <w:tcPr>
                  <w:tcW w:w="4326" w:type="dxa"/>
                  <w:tcBorders>
                    <w:tl2br w:val="nil"/>
                    <w:tr2bl w:val="nil"/>
                  </w:tcBorders>
                  <w:vAlign w:val="top"/>
                </w:tcPr>
                <w:p>
                  <w:pPr>
                    <w:pStyle w:val="21"/>
                    <w:keepLines w:val="0"/>
                    <w:pageBreakBefore w:val="0"/>
                    <w:kinsoku/>
                    <w:wordWrap/>
                    <w:overflowPunct/>
                    <w:topLinePunct w:val="0"/>
                    <w:bidi w:val="0"/>
                    <w:spacing w:after="0" w:line="360" w:lineRule="auto"/>
                    <w:ind w:left="0" w:leftChars="0" w:firstLine="0" w:firstLineChars="0"/>
                    <w:jc w:val="both"/>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pPr>
                  <w:r>
                    <w:rPr>
                      <w:rFonts w:hint="eastAsia" w:ascii="Times New Roman" w:cs="Times New Roman" w:hAnsiTheme="minorEastAsia"/>
                      <w:color w:val="000000" w:themeColor="text1"/>
                      <w:spacing w:val="0"/>
                      <w:sz w:val="24"/>
                      <w:highlight w:val="none"/>
                      <w:vertAlign w:val="baseline"/>
                      <w:lang w:val="en-US" w:eastAsia="zh-CN"/>
                      <w14:textFill>
                        <w14:solidFill>
                          <w14:schemeClr w14:val="tx1"/>
                        </w14:solidFill>
                      </w14:textFill>
                    </w:rPr>
                    <w:drawing>
                      <wp:inline distT="0" distB="0" distL="114300" distR="114300">
                        <wp:extent cx="2577465" cy="1468120"/>
                        <wp:effectExtent l="0" t="0" r="13335" b="17780"/>
                        <wp:docPr id="5" name="图片 5" descr="微信图片_2024010216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40102161608"/>
                                <pic:cNvPicPr>
                                  <a:picLocks noChangeAspect="1"/>
                                </pic:cNvPicPr>
                              </pic:nvPicPr>
                              <pic:blipFill>
                                <a:blip r:embed="rId32"/>
                                <a:stretch>
                                  <a:fillRect/>
                                </a:stretch>
                              </pic:blipFill>
                              <pic:spPr>
                                <a:xfrm>
                                  <a:off x="0" y="0"/>
                                  <a:ext cx="2577465" cy="1468120"/>
                                </a:xfrm>
                                <a:prstGeom prst="rect">
                                  <a:avLst/>
                                </a:prstGeom>
                              </pic:spPr>
                            </pic:pic>
                          </a:graphicData>
                        </a:graphic>
                      </wp:inline>
                    </w:drawing>
                  </w:r>
                </w:p>
              </w:tc>
            </w:tr>
          </w:tbl>
          <w:p>
            <w:pPr>
              <w:rPr>
                <w:color w:val="000000" w:themeColor="text1"/>
                <w:spacing w:val="0"/>
                <w:highlight w:val="none"/>
                <w14:textFill>
                  <w14:solidFill>
                    <w14:schemeClr w14:val="tx1"/>
                  </w14:solidFill>
                </w14:textFill>
              </w:rPr>
            </w:pPr>
          </w:p>
        </w:tc>
      </w:tr>
    </w:tbl>
    <w:p>
      <w:pPr>
        <w:rPr>
          <w:b/>
          <w:bCs/>
          <w:color w:val="000000" w:themeColor="text1"/>
          <w:sz w:val="28"/>
          <w:szCs w:val="28"/>
          <w:highlight w:val="none"/>
          <w14:textFill>
            <w14:solidFill>
              <w14:schemeClr w14:val="tx1"/>
            </w14:solidFill>
          </w14:textFill>
        </w:rPr>
      </w:pPr>
      <w:r>
        <w:rPr>
          <w:rFonts w:hint="eastAsia"/>
          <w:b/>
          <w:bCs/>
          <w:color w:val="000000" w:themeColor="text1"/>
          <w:sz w:val="28"/>
          <w:szCs w:val="28"/>
          <w:highlight w:val="none"/>
          <w:lang w:eastAsia="zh-CN"/>
          <w14:textFill>
            <w14:solidFill>
              <w14:schemeClr w14:val="tx1"/>
            </w14:solidFill>
          </w14:textFill>
        </w:rPr>
        <w:t>表四</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trPr>
        <w:tc>
          <w:tcPr>
            <w:tcW w:w="8522" w:type="dxa"/>
          </w:tcPr>
          <w:p>
            <w:pPr>
              <w:keepNext w:val="0"/>
              <w:keepLines w:val="0"/>
              <w:pageBreakBefore w:val="0"/>
              <w:kinsoku/>
              <w:wordWrap/>
              <w:overflowPunct/>
              <w:topLinePunct w:val="0"/>
              <w:bidi w:val="0"/>
              <w:adjustRightInd w:val="0"/>
              <w:snapToGrid w:val="0"/>
              <w:spacing w:line="360" w:lineRule="auto"/>
              <w:ind w:leftChars="0"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4.1环境影响评价报告表结论及建议：</w:t>
            </w:r>
          </w:p>
          <w:p>
            <w:pPr>
              <w:keepNext w:val="0"/>
              <w:keepLines w:val="0"/>
              <w:pageBreakBefore w:val="0"/>
              <w:kinsoku/>
              <w:wordWrap/>
              <w:overflowPunct/>
              <w:topLinePunct w:val="0"/>
              <w:bidi w:val="0"/>
              <w:adjustRightInd w:val="0"/>
              <w:snapToGrid w:val="0"/>
              <w:spacing w:line="360" w:lineRule="auto"/>
              <w:ind w:leftChars="0" w:firstLine="482" w:firstLineChars="200"/>
              <w:contextualSpacing/>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4.1.1项目概况</w:t>
            </w:r>
          </w:p>
          <w:p>
            <w:pPr>
              <w:pStyle w:val="59"/>
              <w:keepNext w:val="0"/>
              <w:keepLines w:val="0"/>
              <w:pageBreakBefore w:val="0"/>
              <w:kinsoku/>
              <w:wordWrap/>
              <w:overflowPunct/>
              <w:topLinePunct w:val="0"/>
              <w:bidi w:val="0"/>
              <w:snapToGrid w:val="0"/>
              <w:spacing w:line="360" w:lineRule="auto"/>
              <w:ind w:left="0" w:leftChars="0" w:firstLine="480" w:firstLineChars="200"/>
              <w:rPr>
                <w:rFonts w:hint="default" w:ascii="Times New Roman" w:hAnsi="Times New Roman" w:eastAsia="宋体" w:cs="Times New Roman"/>
                <w:color w:val="000000" w:themeColor="text1"/>
                <w:spacing w:val="0"/>
                <w:sz w:val="24"/>
                <w:szCs w:val="24"/>
                <w:highlight w:val="none"/>
                <w14:textFill>
                  <w14:solidFill>
                    <w14:schemeClr w14:val="tx1"/>
                  </w14:solidFill>
                </w14:textFill>
              </w:rPr>
            </w:pP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双达高速韩集（临夏县）服务区加油加气站 (AB站)项目位于本项目位于甘肃省临夏回族自治州韩集镇麻尼寺沟乡韩集服务区内，每座加油加气站占地面积占地5068m</w:t>
            </w:r>
            <w:r>
              <w:rPr>
                <w:rFonts w:hint="default" w:ascii="Times New Roman" w:hAnsi="Times New Roman" w:eastAsia="宋体" w:cs="Times New Roman"/>
                <w:color w:val="000000" w:themeColor="text1"/>
                <w:spacing w:val="0"/>
                <w:sz w:val="24"/>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，每座加油加气站新建二层站房一座，建筑面积为458.28m</w:t>
            </w:r>
            <w:r>
              <w:rPr>
                <w:rFonts w:hint="default" w:ascii="Times New Roman" w:hAnsi="Times New Roman" w:eastAsia="宋体" w:cs="Times New Roman"/>
                <w:color w:val="000000" w:themeColor="text1"/>
                <w:spacing w:val="0"/>
                <w:sz w:val="24"/>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，建筑结构为框架结构；每座加油加气站新建螺栓球网架结构罩棚1座，建筑面积616m</w:t>
            </w:r>
            <w:r>
              <w:rPr>
                <w:rFonts w:hint="default" w:ascii="Times New Roman" w:hAnsi="Times New Roman" w:eastAsia="宋体" w:cs="Times New Roman"/>
                <w:color w:val="000000" w:themeColor="text1"/>
                <w:spacing w:val="0"/>
                <w:sz w:val="24"/>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，混凝土立柱，净高6.0m。罩棚耐火等级为二级，承重柱的耐火极限为2.5小时。A、B站总销售量汽油2679t/a、柴油2319t/a、LNG2555t/a。单座加油站项目总投资</w:t>
            </w: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1200</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万元，环保投资为</w:t>
            </w: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41</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.1万元，环保投资占总投资的</w:t>
            </w:r>
            <w:r>
              <w:rPr>
                <w:rFonts w:hint="eastAsia" w:ascii="Times New Roman" w:hAnsi="Times New Roman" w:eastAsia="宋体" w:cs="Times New Roman"/>
                <w:color w:val="000000" w:themeColor="text1"/>
                <w:spacing w:val="0"/>
                <w:sz w:val="24"/>
                <w:szCs w:val="24"/>
                <w:highlight w:val="none"/>
                <w:lang w:val="en-US" w:eastAsia="zh-CN"/>
                <w14:textFill>
                  <w14:solidFill>
                    <w14:schemeClr w14:val="tx1"/>
                  </w14:solidFill>
                </w14:textFill>
              </w:rPr>
              <w:t>3.4</w:t>
            </w:r>
            <w:r>
              <w:rPr>
                <w:rFonts w:hint="default" w:ascii="Times New Roman" w:hAnsi="Times New Roman" w:eastAsia="宋体" w:cs="Times New Roman"/>
                <w:color w:val="000000" w:themeColor="text1"/>
                <w:spacing w:val="0"/>
                <w:sz w:val="24"/>
                <w:szCs w:val="24"/>
                <w:highlight w:val="none"/>
                <w14:textFill>
                  <w14:solidFill>
                    <w14:schemeClr w14:val="tx1"/>
                  </w14:solidFill>
                </w14:textFill>
              </w:rPr>
              <w:t>%。</w:t>
            </w:r>
          </w:p>
          <w:p>
            <w:pPr>
              <w:pStyle w:val="6"/>
              <w:keepNext w:val="0"/>
              <w:keepLines w:val="0"/>
              <w:pageBreakBefore w:val="0"/>
              <w:kinsoku/>
              <w:wordWrap/>
              <w:overflowPunct/>
              <w:topLinePunct w:val="0"/>
              <w:bidi w:val="0"/>
              <w:snapToGrid w:val="0"/>
              <w:spacing w:line="360" w:lineRule="auto"/>
              <w:ind w:left="0" w:leftChars="0" w:firstLine="482" w:firstLineChars="200"/>
              <w:rPr>
                <w:rFonts w:hint="default" w:ascii="Times New Roman" w:hAnsi="Times New Roman" w:eastAsia="宋体" w:cs="Times New Roman"/>
                <w:color w:val="000000" w:themeColor="text1"/>
                <w:spacing w:val="0"/>
                <w:sz w:val="24"/>
                <w:szCs w:val="24"/>
                <w:highlight w:val="none"/>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4.1.2</w:t>
            </w:r>
            <w:r>
              <w:rPr>
                <w:rFonts w:hint="default" w:ascii="Times New Roman" w:hAnsi="Times New Roman" w:eastAsia="宋体" w:cs="Times New Roman"/>
                <w:b/>
                <w:color w:val="000000" w:themeColor="text1"/>
                <w:spacing w:val="0"/>
                <w:sz w:val="24"/>
                <w:szCs w:val="24"/>
                <w:highlight w:val="none"/>
                <w14:textFill>
                  <w14:solidFill>
                    <w14:schemeClr w14:val="tx1"/>
                  </w14:solidFill>
                </w14:textFill>
              </w:rPr>
              <w:t>产业政策符合性</w:t>
            </w:r>
          </w:p>
          <w:p>
            <w:pPr>
              <w:keepNext w:val="0"/>
              <w:keepLines w:val="0"/>
              <w:pageBreakBefore w:val="0"/>
              <w:tabs>
                <w:tab w:val="left" w:pos="1264"/>
              </w:tabs>
              <w:kinsoku/>
              <w:wordWrap/>
              <w:overflowPunct/>
              <w:topLinePunct w:val="0"/>
              <w:bidi w:val="0"/>
              <w:adjustRightInd w:val="0"/>
              <w:snapToGrid w:val="0"/>
              <w:spacing w:line="360" w:lineRule="auto"/>
              <w:ind w:leftChars="0" w:firstLine="480" w:firstLineChars="200"/>
              <w:rPr>
                <w:snapToGrid w:val="0"/>
                <w:spacing w:val="0"/>
                <w:kern w:val="0"/>
                <w:sz w:val="24"/>
                <w:highlight w:val="none"/>
              </w:rPr>
            </w:pPr>
            <w:r>
              <w:rPr>
                <w:snapToGrid w:val="0"/>
                <w:spacing w:val="0"/>
                <w:kern w:val="0"/>
                <w:sz w:val="24"/>
                <w:highlight w:val="none"/>
              </w:rPr>
              <w:t>根据《产业结构调整指导目录(2011年本)》（2013年修正）（国家发展和改革委员会第21号令），本项目属于其鼓励类中“七、石油、天然气 3、原油、天然气、成品油的储运和管道输送设施及网络建设”项目，因此，项目符合国家的产业政策。</w:t>
            </w:r>
          </w:p>
          <w:p>
            <w:pPr>
              <w:keepNext w:val="0"/>
              <w:keepLines w:val="0"/>
              <w:pageBreakBefore w:val="0"/>
              <w:kinsoku/>
              <w:wordWrap/>
              <w:overflowPunct/>
              <w:topLinePunct w:val="0"/>
              <w:bidi w:val="0"/>
              <w:adjustRightInd w:val="0"/>
              <w:snapToGrid w:val="0"/>
              <w:spacing w:line="360" w:lineRule="auto"/>
              <w:ind w:leftChars="0" w:firstLine="482" w:firstLineChars="200"/>
              <w:rPr>
                <w:rFonts w:hint="default" w:ascii="Times New Roman" w:hAnsi="Times New Roman" w:eastAsia="宋体" w:cs="Times New Roman"/>
                <w:b/>
                <w:color w:val="000000" w:themeColor="text1"/>
                <w:spacing w:val="0"/>
                <w:sz w:val="24"/>
                <w:szCs w:val="24"/>
                <w:highlight w:val="none"/>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4.1.3</w:t>
            </w:r>
            <w:r>
              <w:rPr>
                <w:rFonts w:hint="default" w:ascii="Times New Roman" w:hAnsi="Times New Roman" w:eastAsia="宋体" w:cs="Times New Roman"/>
                <w:b/>
                <w:color w:val="000000" w:themeColor="text1"/>
                <w:spacing w:val="0"/>
                <w:sz w:val="24"/>
                <w:szCs w:val="24"/>
                <w:highlight w:val="none"/>
                <w14:textFill>
                  <w14:solidFill>
                    <w14:schemeClr w14:val="tx1"/>
                  </w14:solidFill>
                </w14:textFill>
              </w:rPr>
              <w:t>规划符合性分析、选址合理性分析</w:t>
            </w:r>
          </w:p>
          <w:p>
            <w:pPr>
              <w:keepNext w:val="0"/>
              <w:keepLines w:val="0"/>
              <w:pageBreakBefore w:val="0"/>
              <w:tabs>
                <w:tab w:val="left" w:pos="1264"/>
              </w:tabs>
              <w:kinsoku/>
              <w:wordWrap/>
              <w:overflowPunct/>
              <w:topLinePunct w:val="0"/>
              <w:bidi w:val="0"/>
              <w:adjustRightInd w:val="0"/>
              <w:snapToGrid w:val="0"/>
              <w:spacing w:line="360" w:lineRule="auto"/>
              <w:ind w:leftChars="0" w:firstLine="480" w:firstLineChars="200"/>
              <w:rPr>
                <w:rFonts w:hint="default" w:ascii="Times New Roman" w:hAnsi="Times New Roman" w:eastAsia="宋体" w:cs="Times New Roman"/>
                <w:b w:val="0"/>
                <w:bCs/>
                <w:color w:val="000000" w:themeColor="text1"/>
                <w:spacing w:val="0"/>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kern w:val="0"/>
                <w:sz w:val="24"/>
                <w:szCs w:val="24"/>
                <w:highlight w:val="none"/>
                <w:lang w:val="en-US" w:eastAsia="zh-CN"/>
                <w14:textFill>
                  <w14:solidFill>
                    <w14:schemeClr w14:val="tx1"/>
                  </w14:solidFill>
                </w14:textFill>
              </w:rPr>
              <w:t>拟建项目位于临夏回族自治州韩集镇麻尼寺沟乡韩集服务区，项目建设对完善国家和甘肃省高速公路网络，改善甘肃省交通状况具有重要意义，该项目符合供地政策，项目用地已列入当地土地利用总体规划，同时项目区内无饮用水源地、风景名胜保护目标等敏感点，项目建设符合土地政策，建设设计规范，建筑布局合理，另外，项目所在区域基础设施完善，供电、给水、电信等设施配套齐全，交通便利，适合本项目建设。</w:t>
            </w:r>
          </w:p>
          <w:p>
            <w:pPr>
              <w:keepNext w:val="0"/>
              <w:keepLines w:val="0"/>
              <w:pageBreakBefore w:val="0"/>
              <w:tabs>
                <w:tab w:val="left" w:pos="1264"/>
              </w:tabs>
              <w:kinsoku/>
              <w:wordWrap/>
              <w:overflowPunct/>
              <w:topLinePunct w:val="0"/>
              <w:bidi w:val="0"/>
              <w:adjustRightInd w:val="0"/>
              <w:snapToGrid w:val="0"/>
              <w:spacing w:line="360" w:lineRule="auto"/>
              <w:ind w:leftChars="0" w:firstLine="480" w:firstLineChars="200"/>
              <w:rPr>
                <w:rFonts w:hint="default" w:ascii="Times New Roman" w:hAnsi="Times New Roman" w:eastAsia="宋体" w:cs="Times New Roman"/>
                <w:b w:val="0"/>
                <w:bCs/>
                <w:color w:val="000000" w:themeColor="text1"/>
                <w:spacing w:val="0"/>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kern w:val="0"/>
                <w:sz w:val="24"/>
                <w:szCs w:val="24"/>
                <w:highlight w:val="none"/>
                <w:lang w:val="en-US" w:eastAsia="zh-CN"/>
                <w14:textFill>
                  <w14:solidFill>
                    <w14:schemeClr w14:val="tx1"/>
                  </w14:solidFill>
                </w14:textFill>
              </w:rPr>
              <w:t>依据调查，本项目最近敏感目标为西南侧184m处党家居民住宅，根据《汽车加油加气站设计与施工规范》（GB50156-2012）（2014年修订）中汽油设备与站外建（构）筑物的安全距离可知项目储罐区符合相关标准要求，加油加气站及主要设施与民用建筑物保护类别、城市道路、架空电力线路等安全距离均能符合该规范相关要求，项目针对可能出现的环境污染，均采取相应的污染减缓措施，在切实加强环境管理和各项环境保护措施落实到位的前提条件下，本项目场址选择合理。因此本项目选址合理。</w:t>
            </w:r>
          </w:p>
          <w:p>
            <w:pPr>
              <w:keepNext w:val="0"/>
              <w:keepLines w:val="0"/>
              <w:pageBreakBefore w:val="0"/>
              <w:tabs>
                <w:tab w:val="left" w:pos="1264"/>
              </w:tabs>
              <w:kinsoku/>
              <w:wordWrap/>
              <w:overflowPunct/>
              <w:topLinePunct w:val="0"/>
              <w:bidi w:val="0"/>
              <w:adjustRightInd w:val="0"/>
              <w:snapToGrid w:val="0"/>
              <w:spacing w:line="360" w:lineRule="auto"/>
              <w:ind w:leftChars="0" w:firstLine="482" w:firstLineChars="200"/>
              <w:rPr>
                <w:rFonts w:hint="default" w:ascii="Times New Roman" w:hAnsi="Times New Roman" w:eastAsia="宋体" w:cs="Times New Roman"/>
                <w:color w:val="000000" w:themeColor="text1"/>
                <w:spacing w:val="0"/>
                <w:kern w:val="0"/>
                <w:sz w:val="24"/>
                <w:szCs w:val="24"/>
                <w:highlight w:val="none"/>
                <w14:textFill>
                  <w14:solidFill>
                    <w14:schemeClr w14:val="tx1"/>
                  </w14:solidFill>
                </w14:textFill>
              </w:rPr>
            </w:pPr>
            <w:r>
              <w:rPr>
                <w:rFonts w:hint="default" w:ascii="Times New Roman" w:hAnsi="Times New Roman" w:eastAsia="宋体" w:cs="Times New Roman"/>
                <w:b/>
                <w:color w:val="000000" w:themeColor="text1"/>
                <w:spacing w:val="0"/>
                <w:kern w:val="0"/>
                <w:sz w:val="24"/>
                <w:szCs w:val="24"/>
                <w:highlight w:val="none"/>
                <w:lang w:val="en-US" w:eastAsia="zh-CN"/>
                <w14:textFill>
                  <w14:solidFill>
                    <w14:schemeClr w14:val="tx1"/>
                  </w14:solidFill>
                </w14:textFill>
              </w:rPr>
              <w:t>4.2</w:t>
            </w:r>
            <w:r>
              <w:rPr>
                <w:rFonts w:hint="default" w:ascii="Times New Roman" w:hAnsi="Times New Roman" w:eastAsia="宋体" w:cs="Times New Roman"/>
                <w:b/>
                <w:color w:val="000000" w:themeColor="text1"/>
                <w:spacing w:val="0"/>
                <w:sz w:val="24"/>
                <w:szCs w:val="24"/>
                <w:highlight w:val="none"/>
                <w14:textFill>
                  <w14:solidFill>
                    <w14:schemeClr w14:val="tx1"/>
                  </w14:solidFill>
                </w14:textFill>
              </w:rPr>
              <w:t>环境影响评价结论</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关</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于</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双达高速韩集（临夏县）服务区加油加气站（AB站）项目环境影响报告表的批复</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甘肃公航旅中油能源有限责任公司：</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你公司报送的由甘肃蓝曦环保科技有限公司负责编制的《双达高速韩集（临夏县）服务区加油加气站（AB站）项目环境影响报告表》（以下简称《报告表》）收悉。根据专家技术评审意见并经局务会议研究，现对该《报告表》批复如下：</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一、本项目建设地点位于临夏县麻尼寺沟乡（双达高速韩集服务区内），A站位于双达高速韩集服务区内北侧，地理坐标为东经102°55'53.71''，北纬35°30'08.59''；B站位于双达高速韩集服务区内南侧，地理坐标为东经102°55'52.40''，北纬35°30'05.13''。本项目加油加气站为AB两座站，属于加油与LNG加气合建站。两座加油加气站主要建设内容一致，每座站占地面积占地5068m，每座站新建二层站房一座，建筑面积为458.28m，建筑结构为框架结构；每座站新建螺栓球网架结构罩棚1座，建筑面积616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2</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，混凝土立柱，净高6.0m</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每座站设有SF双层卧式埋地储油罐5个（其中40m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柴油储罐2座、40m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汽油储罐2座、30m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汽油储罐1座）；每座站设箱式LNG橇装设备1套（含60m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低温卧式储罐1座，储罐/卸车增压器1台，EAG加热器1台，LNG潜液泵2台），LNG单枪加气机2台，B0G回收</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橇</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1套。单座加油加气站储油罐总容量190</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，折标容量为150m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，加气部分为1座60</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低温卧式储罐，LNG储罐总容积与油品储罐总容积合计为210m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同时配套油气回收及处理系统、检涌系统及其他附屬设施。该项目两座加油加气站均为一级加油加气合建站。本项目单座加油加气站投资1200万元，AB两座站合计投资2400万元，其中环保投资82.2万元，占总投资的3.4%。</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二、经审查，原则同意《报告表》提出的评价标准。你公司在全面落实环评报告表提出的各项污染防治和生态保护措施后，对环境的不利影响能够得到减缓和控制。该项目环境影响报告表中所列建设项目的性质、规模、地点和拟采取的环境保护措施可作为项目实施的依据。</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三、项目在建设过程中应做好以下环境保护工作：</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一）项目建设过程中严格执行《临夏州扬尘污染防治管理办法》之规定，加强施工区域的酒水，保证表面湿度，减少起尘量；施工区域外围设置围挡，封闭作业，缩小施工现场扬尘和尾气扩散范围。物料运输车辆采取遮盖、密闭措施，避免沿途洒脱，引起扬尘飘散；行驶路面酒水降尘，降低车辆碾压产生无组织扬尘：运输车辆轮胎定期冲中洗，不得将泥沙带出施工区域。确保施工期废气排放满足《大气污染物综合排放标准》（GB16297-1996）中无组织排放标准。</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（二）项目施工混凝土养护废水、车辆冲洗废水经隔油沉淀池沉淀后回用于施工过程，不得外排；施工人员盥洗废水用于施工场地泼洒降尘。</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三）施工单位应选用低噪声施工机械设备，合理安排施工作业时间、合理布局施工现场、设置隔声屏障，避免在同一时间集中使用大量的动力机械设备，晚上不得施工。确保施工场界噪声满足《建筑施工场界环境噪声排放标准》（GB12523-2011）要求。</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（四）施工过程中产生的废弃士石方、建筑垃圾集中收集后运往当地政府部门指定的地点处置。生活垃圾集中收集后运送至生活垃圾填埋场处理。</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四、项目在运营期应做好以下环境保护工作</w:t>
            </w: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一）运营期在卸油、加油过程中安装以密闭收集为基础的油气回收装置，減少油气向外界溢散；油气后处理装置采用冷凝式油气回收装置，将油气变成液体疙油和高浓度的油气回收利用。废气排放须满足《加油站大气污染物排放标准》（GB20952-2007）排放浓度≤25g/m的要求限值。LNG储罐自然蒸发和LNG卸车废气配备建设1套BOG回收橇装置对产生的废气进行处理。废气排放须满足《挥发性有机物无组织排放控制标准》（GB37822-2019）无组织排放限值。</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二）严格按报告表要求选用防腐性能优良的卧式双层油罐，地下罐池应设置玻璃钢耐油防腐、防渗措施，防止成品油泄漏造成地下水污染。油罐清洗委托有资质的单位进行专业处理并负责处理清洗废水，不得将清洗废水随意倾倒；加油</w:t>
            </w:r>
            <w:bookmarkStart w:id="0" w:name="_GoBack"/>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加气</w:t>
            </w:r>
            <w:bookmarkEnd w:id="0"/>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站生活污水经各自站区的1座10m</w:t>
            </w:r>
            <w:r>
              <w:rPr>
                <w:rFonts w:hint="eastAsia" w:ascii="Times New Roman" w:hAnsi="Times New Roman" w:eastAsia="宋体" w:cs="Times New Roman"/>
                <w:b w:val="0"/>
                <w:bCs/>
                <w:color w:val="000000" w:themeColor="text1"/>
                <w:spacing w:val="0"/>
                <w:sz w:val="24"/>
                <w:szCs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化粪池预处理后排入服务区一体化污水处理设施进一步处理，服务区地埋式一体化设施采用生物接触氧化法进一步处理生活污水，污水达到《城市污水再生利用城市杂用水水质》（GB/TI8920-2002）中绿化用水水质标准后用于服务区及公路绿化浇灌。</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（三）运营期加强机动车及运油罐车应严格管理，设置标示牌，要求车辆进站时减速、禁止鸣笛、加油时车辆熄火等，使区域内的交通噪声降到最低值；对加油泵及卸油泵等均选用低噪声设备，并设置减振垫。</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（四）清理油罐产生的废渣、油污、罐底残液等属危险废物，严格按照危险废物贮存和处置规定，将其全部交由有资质的单位处置，并及时履行备案手续。生活垃圾收集后交环卫部门进行集中处理。</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（五）严格落实环境风险防范措施，加强环境风险管理，及时制定应急预案并定期开展演练。</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五、项目建设必须严格执行环境保护“三同时”制度，将环境保护措施落到实处。工程竣工后，经验收合格后，方可正式投入运营。</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六、建设单位是建设项目选址、建设、运营全过程落实环境保护措施、公开环境信息的主体，应按照《建设项目环境影响评价信息公开机制方案》等的要求依法依规公开建设项目环评信息，畅通公众参与和社会监督渠道，保障可能受建设项目环境影响的公众环境权益。</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七、环境影响报告表经批准后，项目的性质、规模、工艺、地点或者防治污染、防止生态破坏的措施发生重大变动的，应当重新报批该项目的环境影响报告表。自项目环境影响报告表批复文件批准之日起，如超过五年方开工建设的，环境影响报告表应当报我局重新审核。</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八、项目建设及建成后的环境管理工作由临夏县环境监察大队负责监督管理，确保按《报告表》要求落实各项环保措施。</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特此批复</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right"/>
              <w:textAlignment w:val="auto"/>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临夏州生态环境局临夏县分局</w:t>
            </w:r>
          </w:p>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right"/>
              <w:textAlignment w:val="auto"/>
              <w:rPr>
                <w:rFonts w:hint="default"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pacing w:val="0"/>
                <w:sz w:val="24"/>
                <w:szCs w:val="24"/>
                <w:highlight w:val="none"/>
                <w:lang w:val="en-US" w:eastAsia="zh-CN"/>
                <w14:textFill>
                  <w14:solidFill>
                    <w14:schemeClr w14:val="tx1"/>
                  </w14:solidFill>
                </w14:textFill>
              </w:rPr>
              <w:t>2019年10月18日</w:t>
            </w:r>
          </w:p>
          <w:p>
            <w:pPr>
              <w:pStyle w:val="47"/>
              <w:keepNext w:val="0"/>
              <w:keepLines w:val="0"/>
              <w:pageBreakBefore w:val="0"/>
              <w:numPr>
                <w:ilvl w:val="0"/>
                <w:numId w:val="0"/>
              </w:numPr>
              <w:kinsoku/>
              <w:wordWrap/>
              <w:overflowPunct/>
              <w:topLinePunct w:val="0"/>
              <w:bidi w:val="0"/>
              <w:spacing w:line="360" w:lineRule="auto"/>
              <w:ind w:leftChars="0" w:firstLine="482" w:firstLineChars="200"/>
              <w:jc w:val="both"/>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pacing w:val="0"/>
                <w:sz w:val="24"/>
                <w:szCs w:val="24"/>
                <w:highlight w:val="none"/>
                <w:lang w:val="en-US" w:eastAsia="zh-CN"/>
                <w14:textFill>
                  <w14:solidFill>
                    <w14:schemeClr w14:val="tx1"/>
                  </w14:solidFill>
                </w14:textFill>
              </w:rPr>
              <w:t>4.7环境保护措施执行情况</w:t>
            </w:r>
          </w:p>
          <w:p>
            <w:pPr>
              <w:keepNext w:val="0"/>
              <w:keepLines w:val="0"/>
              <w:pageBreakBefore w:val="0"/>
              <w:kinsoku/>
              <w:wordWrap/>
              <w:overflowPunct/>
              <w:topLinePunct w:val="0"/>
              <w:bidi w:val="0"/>
              <w:adjustRightInd w:val="0"/>
              <w:snapToGrid w:val="0"/>
              <w:spacing w:line="360" w:lineRule="auto"/>
              <w:ind w:leftChars="0" w:firstLine="482" w:firstLineChars="200"/>
              <w:rPr>
                <w:rFonts w:hint="default" w:ascii="Times New Roman" w:hAnsi="Times New Roman" w:eastAsia="宋体" w:cs="Times New Roman"/>
                <w:b/>
                <w:snapToGrid w:val="0"/>
                <w:color w:val="000000" w:themeColor="text1"/>
                <w:spacing w:val="0"/>
                <w:kern w:val="0"/>
                <w:sz w:val="24"/>
                <w:highlight w:val="none"/>
                <w14:textFill>
                  <w14:solidFill>
                    <w14:schemeClr w14:val="tx1"/>
                  </w14:solidFill>
                </w14:textFill>
              </w:rPr>
            </w:pPr>
            <w:r>
              <w:rPr>
                <w:rFonts w:hint="default" w:ascii="Times New Roman" w:hAnsi="Times New Roman" w:eastAsia="宋体" w:cs="Times New Roman"/>
                <w:b/>
                <w:snapToGrid w:val="0"/>
                <w:color w:val="000000" w:themeColor="text1"/>
                <w:spacing w:val="0"/>
                <w:kern w:val="0"/>
                <w:sz w:val="24"/>
                <w:highlight w:val="none"/>
                <w:lang w:val="en-US" w:eastAsia="zh-CN"/>
                <w14:textFill>
                  <w14:solidFill>
                    <w14:schemeClr w14:val="tx1"/>
                  </w14:solidFill>
                </w14:textFill>
              </w:rPr>
              <w:t>4.7.1</w:t>
            </w:r>
            <w:r>
              <w:rPr>
                <w:rFonts w:hint="default" w:ascii="Times New Roman" w:hAnsi="Times New Roman" w:eastAsia="宋体" w:cs="Times New Roman"/>
                <w:b/>
                <w:snapToGrid w:val="0"/>
                <w:color w:val="000000" w:themeColor="text1"/>
                <w:spacing w:val="0"/>
                <w:kern w:val="0"/>
                <w:sz w:val="24"/>
                <w:highlight w:val="none"/>
                <w14:textFill>
                  <w14:solidFill>
                    <w14:schemeClr w14:val="tx1"/>
                  </w14:solidFill>
                </w14:textFill>
              </w:rPr>
              <w:t>环评报告表中要求的环境保护措施执行情况</w:t>
            </w:r>
          </w:p>
          <w:p>
            <w:pPr>
              <w:keepNext w:val="0"/>
              <w:keepLines w:val="0"/>
              <w:pageBreakBefore w:val="0"/>
              <w:kinsoku/>
              <w:wordWrap/>
              <w:overflowPunct/>
              <w:topLinePunct w:val="0"/>
              <w:bidi w:val="0"/>
              <w:adjustRightInd w:val="0"/>
              <w:snapToGrid w:val="0"/>
              <w:spacing w:line="360" w:lineRule="auto"/>
              <w:ind w:leftChars="0" w:firstLine="480" w:firstLineChars="200"/>
              <w:rPr>
                <w:color w:val="000000" w:themeColor="text1"/>
                <w:spacing w:val="0"/>
                <w:highlight w:val="none"/>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4"/>
                <w:highlight w:val="none"/>
                <w:lang w:eastAsia="zh-CN"/>
                <w14:textFill>
                  <w14:solidFill>
                    <w14:schemeClr w14:val="tx1"/>
                  </w14:solidFill>
                </w14:textFill>
              </w:rPr>
              <w:t>项目</w:t>
            </w:r>
            <w:r>
              <w:rPr>
                <w:rFonts w:hint="default" w:ascii="Times New Roman" w:hAnsi="Times New Roman" w:eastAsia="宋体" w:cs="Times New Roman"/>
                <w:snapToGrid w:val="0"/>
                <w:color w:val="000000" w:themeColor="text1"/>
                <w:spacing w:val="0"/>
                <w:kern w:val="0"/>
                <w:sz w:val="24"/>
                <w:highlight w:val="none"/>
                <w14:textFill>
                  <w14:solidFill>
                    <w14:schemeClr w14:val="tx1"/>
                  </w14:solidFill>
                </w14:textFill>
              </w:rPr>
              <w:t>采取</w:t>
            </w:r>
            <w:r>
              <w:rPr>
                <w:rFonts w:hint="eastAsia" w:ascii="Times New Roman" w:hAnsi="Times New Roman" w:eastAsia="宋体" w:cs="Times New Roman"/>
                <w:snapToGrid w:val="0"/>
                <w:color w:val="000000" w:themeColor="text1"/>
                <w:spacing w:val="0"/>
                <w:kern w:val="0"/>
                <w:sz w:val="24"/>
                <w:highlight w:val="none"/>
                <w:lang w:val="en-US" w:eastAsia="zh-CN"/>
                <w14:textFill>
                  <w14:solidFill>
                    <w14:schemeClr w14:val="tx1"/>
                  </w14:solidFill>
                </w14:textFill>
              </w:rPr>
              <w:t>的</w:t>
            </w:r>
            <w:r>
              <w:rPr>
                <w:rFonts w:hint="default" w:ascii="Times New Roman" w:hAnsi="Times New Roman" w:eastAsia="宋体" w:cs="Times New Roman"/>
                <w:snapToGrid w:val="0"/>
                <w:color w:val="000000" w:themeColor="text1"/>
                <w:spacing w:val="0"/>
                <w:kern w:val="0"/>
                <w:sz w:val="24"/>
                <w:highlight w:val="none"/>
                <w14:textFill>
                  <w14:solidFill>
                    <w14:schemeClr w14:val="tx1"/>
                  </w14:solidFill>
                </w14:textFill>
              </w:rPr>
              <w:t>环境保护措施与环境影响报告表要求措施的对比情况见表</w:t>
            </w:r>
            <w:r>
              <w:rPr>
                <w:rFonts w:hint="eastAsia" w:ascii="Times New Roman" w:hAnsi="Times New Roman" w:eastAsia="宋体" w:cs="Times New Roman"/>
                <w:snapToGrid w:val="0"/>
                <w:color w:val="000000" w:themeColor="text1"/>
                <w:spacing w:val="0"/>
                <w:kern w:val="0"/>
                <w:sz w:val="24"/>
                <w:highlight w:val="none"/>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4"/>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4"/>
                <w:highlight w:val="none"/>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pacing w:val="0"/>
                <w:kern w:val="0"/>
                <w:sz w:val="24"/>
                <w:highlight w:val="none"/>
                <w14:textFill>
                  <w14:solidFill>
                    <w14:schemeClr w14:val="tx1"/>
                  </w14:solidFill>
                </w14:textFill>
              </w:rPr>
              <w:t>。</w:t>
            </w:r>
          </w:p>
        </w:tc>
      </w:tr>
    </w:tbl>
    <w:p>
      <w:pPr>
        <w:rPr>
          <w:b/>
          <w:color w:val="000000" w:themeColor="text1"/>
          <w:sz w:val="28"/>
          <w:szCs w:val="28"/>
          <w:highlight w:val="none"/>
          <w14:textFill>
            <w14:solidFill>
              <w14:schemeClr w14:val="tx1"/>
            </w14:solidFill>
          </w14:textFill>
        </w:rPr>
        <w:sectPr>
          <w:pgSz w:w="11906" w:h="16838"/>
          <w:pgMar w:top="1701" w:right="1587" w:bottom="1701"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7"/>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b/>
          <w:snapToGrid w:val="0"/>
          <w:color w:val="000000" w:themeColor="text1"/>
          <w:spacing w:val="6"/>
          <w:kern w:val="0"/>
          <w:sz w:val="24"/>
          <w:highlight w:val="none"/>
          <w14:textFill>
            <w14:solidFill>
              <w14:schemeClr w14:val="tx1"/>
            </w14:solidFill>
          </w14:textFill>
        </w:rPr>
        <w:t>表</w:t>
      </w:r>
      <w:r>
        <w:rPr>
          <w:rFonts w:hint="eastAsia" w:ascii="Times New Roman" w:cs="Times New Roman"/>
          <w:b/>
          <w:snapToGrid w:val="0"/>
          <w:color w:val="000000" w:themeColor="text1"/>
          <w:spacing w:val="6"/>
          <w:kern w:val="0"/>
          <w:sz w:val="24"/>
          <w:highlight w:val="none"/>
          <w:lang w:val="en-US" w:eastAsia="zh-CN"/>
          <w14:textFill>
            <w14:solidFill>
              <w14:schemeClr w14:val="tx1"/>
            </w14:solidFill>
          </w14:textFill>
        </w:rPr>
        <w:t>4</w:t>
      </w:r>
      <w:r>
        <w:rPr>
          <w:rFonts w:hint="default" w:ascii="Times New Roman" w:hAnsi="Times New Roman" w:eastAsia="宋体" w:cs="Times New Roman"/>
          <w:b/>
          <w:snapToGrid w:val="0"/>
          <w:color w:val="000000" w:themeColor="text1"/>
          <w:spacing w:val="6"/>
          <w:kern w:val="0"/>
          <w:sz w:val="24"/>
          <w:highlight w:val="none"/>
          <w14:textFill>
            <w14:solidFill>
              <w14:schemeClr w14:val="tx1"/>
            </w14:solidFill>
          </w14:textFill>
        </w:rPr>
        <w:t xml:space="preserve">-1  </w:t>
      </w:r>
      <w:r>
        <w:rPr>
          <w:rFonts w:hint="default" w:ascii="Times New Roman" w:hAnsi="Times New Roman" w:eastAsia="宋体" w:cs="Times New Roman"/>
          <w:b/>
          <w:snapToGrid w:val="0"/>
          <w:color w:val="000000" w:themeColor="text1"/>
          <w:spacing w:val="6"/>
          <w:kern w:val="0"/>
          <w:sz w:val="24"/>
          <w:highlight w:val="none"/>
          <w:lang w:val="en-US" w:eastAsia="zh-CN"/>
          <w14:textFill>
            <w14:solidFill>
              <w14:schemeClr w14:val="tx1"/>
            </w14:solidFill>
          </w14:textFill>
        </w:rPr>
        <w:t xml:space="preserve">       </w:t>
      </w:r>
      <w:r>
        <w:rPr>
          <w:rFonts w:hint="default" w:ascii="Times New Roman" w:hAnsi="Times New Roman" w:eastAsia="宋体" w:cs="Times New Roman"/>
          <w:b/>
          <w:snapToGrid w:val="0"/>
          <w:color w:val="000000" w:themeColor="text1"/>
          <w:spacing w:val="6"/>
          <w:kern w:val="0"/>
          <w:sz w:val="24"/>
          <w:highlight w:val="none"/>
          <w:lang w:eastAsia="zh-CN"/>
          <w14:textFill>
            <w14:solidFill>
              <w14:schemeClr w14:val="tx1"/>
            </w14:solidFill>
          </w14:textFill>
        </w:rPr>
        <w:t>环评报告</w:t>
      </w:r>
      <w:r>
        <w:rPr>
          <w:rFonts w:hint="default" w:ascii="Times New Roman" w:hAnsi="Times New Roman" w:eastAsia="宋体" w:cs="Times New Roman"/>
          <w:b/>
          <w:snapToGrid w:val="0"/>
          <w:color w:val="000000" w:themeColor="text1"/>
          <w:spacing w:val="6"/>
          <w:kern w:val="0"/>
          <w:sz w:val="24"/>
          <w:highlight w:val="none"/>
          <w14:textFill>
            <w14:solidFill>
              <w14:schemeClr w14:val="tx1"/>
            </w14:solidFill>
          </w14:textFill>
        </w:rPr>
        <w:t>中要求的</w:t>
      </w:r>
      <w:r>
        <w:rPr>
          <w:rFonts w:hint="default" w:ascii="Times New Roman" w:hAnsi="Times New Roman" w:eastAsia="宋体" w:cs="Times New Roman"/>
          <w:b/>
          <w:snapToGrid w:val="0"/>
          <w:color w:val="000000" w:themeColor="text1"/>
          <w:spacing w:val="6"/>
          <w:kern w:val="0"/>
          <w:sz w:val="24"/>
          <w:highlight w:val="none"/>
          <w:lang w:eastAsia="zh-CN"/>
          <w14:textFill>
            <w14:solidFill>
              <w14:schemeClr w14:val="tx1"/>
            </w14:solidFill>
          </w14:textFill>
        </w:rPr>
        <w:t>落实</w:t>
      </w:r>
      <w:r>
        <w:rPr>
          <w:rFonts w:hint="default" w:ascii="Times New Roman" w:hAnsi="Times New Roman" w:eastAsia="宋体" w:cs="Times New Roman"/>
          <w:b/>
          <w:snapToGrid w:val="0"/>
          <w:color w:val="000000" w:themeColor="text1"/>
          <w:spacing w:val="6"/>
          <w:kern w:val="0"/>
          <w:sz w:val="24"/>
          <w:highlight w:val="none"/>
          <w14:textFill>
            <w14:solidFill>
              <w14:schemeClr w14:val="tx1"/>
            </w14:solidFill>
          </w14:textFill>
        </w:rPr>
        <w:t>情况</w:t>
      </w:r>
    </w:p>
    <w:tbl>
      <w:tblPr>
        <w:tblStyle w:val="2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8"/>
        <w:gridCol w:w="1114"/>
        <w:gridCol w:w="6941"/>
        <w:gridCol w:w="3172"/>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391" w:type="pct"/>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项目阶段</w:t>
            </w:r>
          </w:p>
        </w:tc>
        <w:tc>
          <w:tcPr>
            <w:tcW w:w="393" w:type="pct"/>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类别</w:t>
            </w:r>
          </w:p>
        </w:tc>
        <w:tc>
          <w:tcPr>
            <w:tcW w:w="2449" w:type="pct"/>
            <w:tcBorders>
              <w:tl2br w:val="nil"/>
              <w:tr2bl w:val="nil"/>
            </w:tcBorders>
            <w:vAlign w:val="center"/>
          </w:tcPr>
          <w:p>
            <w:pPr>
              <w:keepNext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环境影响报告表中要求的环境保护措施</w:t>
            </w:r>
          </w:p>
        </w:tc>
        <w:tc>
          <w:tcPr>
            <w:tcW w:w="1119" w:type="pct"/>
            <w:tcBorders>
              <w:tl2br w:val="nil"/>
              <w:tr2bl w:val="nil"/>
            </w:tcBorders>
            <w:vAlign w:val="center"/>
          </w:tcPr>
          <w:p>
            <w:pPr>
              <w:keepNext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落实情况</w:t>
            </w:r>
          </w:p>
        </w:tc>
        <w:tc>
          <w:tcPr>
            <w:tcW w:w="645" w:type="pct"/>
            <w:tcBorders>
              <w:tl2br w:val="nil"/>
              <w:tr2bl w:val="nil"/>
            </w:tcBorders>
            <w:vAlign w:val="center"/>
          </w:tcPr>
          <w:p>
            <w:pPr>
              <w:keepNext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0"/>
                <w:sz w:val="21"/>
                <w:szCs w:val="21"/>
                <w:highlight w:val="none"/>
                <w:lang w:val="zh-CN"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restar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施工期</w:t>
            </w:r>
          </w:p>
        </w:tc>
        <w:tc>
          <w:tcPr>
            <w:tcW w:w="393"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废气</w:t>
            </w:r>
          </w:p>
        </w:tc>
        <w:tc>
          <w:tcPr>
            <w:tcW w:w="2449" w:type="pct"/>
            <w:tcBorders>
              <w:tl2br w:val="nil"/>
              <w:tr2bl w:val="nil"/>
            </w:tcBorders>
            <w:vAlign w:val="top"/>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扬尘和汽车尾气</w:t>
            </w:r>
          </w:p>
          <w:p>
            <w:pPr>
              <w:adjustRightInd w:val="0"/>
              <w:snapToGrid w:val="0"/>
              <w:spacing w:line="240" w:lineRule="auto"/>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扬尘：</w:t>
            </w:r>
            <w:r>
              <w:rPr>
                <w:rFonts w:hint="default" w:ascii="Times New Roman" w:hAnsi="Times New Roman" w:eastAsia="宋体" w:cs="Times New Roman"/>
                <w:color w:val="000000" w:themeColor="text1"/>
                <w:sz w:val="21"/>
                <w:szCs w:val="21"/>
                <w:highlight w:val="none"/>
                <w14:textFill>
                  <w14:solidFill>
                    <w14:schemeClr w14:val="tx1"/>
                  </w14:solidFill>
                </w14:textFill>
              </w:rPr>
              <w:t>⑴为了减小工程施工期的扬尘产生及对周围环境的影响，项目在施工准备期应该制定合理的施工计划，严格划定作业区域，加强施工队伍环境管理，责任落实到位。施工人员进场前应对其进行环保培训，加强其环保意识。</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⑵干燥季节应及时对现场存放的土方洒水，以保持其表面湿润，减少扬尘产生量。根据类比资料每天洒水1-2次，扬尘的排放量可减少50-70%。</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⑶对各种车辆及施工机械定期检修保养，使尾气达标排放。</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⑷施工结束后及时恢复施工场地及临时施工区。</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⑸在施工期间加强施工作业管理，施工现场路面要压实，经常洒水；限制运输车辆的行驶速度，而且对运输土方等易产生扬尘的车辆要加盖苫布，完全密闭运输；苫布边缘至少要遮住槽帮上沿以下15cm，保证物料不露出、不遗撤外漏。</w:t>
            </w:r>
          </w:p>
          <w:p>
            <w:pPr>
              <w:adjustRightInd w:val="0"/>
              <w:snapToGrid w:val="0"/>
              <w:spacing w:line="240" w:lineRule="auto"/>
              <w:jc w:val="left"/>
              <w:rPr>
                <w:rFonts w:hint="default" w:ascii="Times New Roman" w:hAnsi="Times New Roman" w:eastAsia="宋体" w:cs="Times New Roman"/>
                <w:color w:val="000000" w:themeColor="text1"/>
                <w:kern w:val="2"/>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汽车尾气：</w:t>
            </w:r>
            <w:r>
              <w:rPr>
                <w:rFonts w:hint="default" w:ascii="Times New Roman" w:hAnsi="Times New Roman" w:eastAsia="宋体" w:cs="Times New Roman"/>
                <w:color w:val="000000" w:themeColor="text1"/>
                <w:sz w:val="21"/>
                <w:szCs w:val="21"/>
                <w:highlight w:val="none"/>
                <w14:textFill>
                  <w14:solidFill>
                    <w14:schemeClr w14:val="tx1"/>
                  </w14:solidFill>
                </w14:textFill>
              </w:rPr>
              <w:t>挖掘机、装载机、推土机等施工机械以柴油为燃料，工作时会产生一定量废气，包括CO、NO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X</w:t>
            </w:r>
            <w:r>
              <w:rPr>
                <w:rFonts w:hint="default" w:ascii="Times New Roman" w:hAnsi="Times New Roman" w:eastAsia="宋体" w:cs="Times New Roman"/>
                <w:color w:val="000000" w:themeColor="text1"/>
                <w:sz w:val="21"/>
                <w:szCs w:val="21"/>
                <w:highlight w:val="none"/>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等，产生量不大，通过合理安排施工机械，定期保养车辆，加上当地扩散条件好，不会对周围大气环境产生较大影响</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tc>
        <w:tc>
          <w:tcPr>
            <w:tcW w:w="1119" w:type="pct"/>
            <w:tcBorders>
              <w:tl2br w:val="nil"/>
              <w:tr2bl w:val="nil"/>
            </w:tcBorders>
            <w:vAlign w:val="center"/>
          </w:tcPr>
          <w:p>
            <w:pPr>
              <w:spacing w:line="240" w:lineRule="auto"/>
              <w:jc w:val="left"/>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经调查，实际现场施工扬尘治理措施落实到位，抑尘效果明显，施工期未发生环境空气污染事件。</w:t>
            </w:r>
          </w:p>
        </w:tc>
        <w:tc>
          <w:tcPr>
            <w:tcW w:w="645" w:type="pct"/>
            <w:tcBorders>
              <w:tl2br w:val="nil"/>
              <w:tr2bl w:val="nil"/>
            </w:tcBorders>
            <w:vAlign w:val="center"/>
          </w:tcPr>
          <w:p>
            <w:pPr>
              <w:spacing w:line="240" w:lineRule="auto"/>
              <w:jc w:val="left"/>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项目施工期扬尘未造成环境空气污染。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continue"/>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393"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废水</w:t>
            </w:r>
          </w:p>
        </w:tc>
        <w:tc>
          <w:tcPr>
            <w:tcW w:w="2449" w:type="pct"/>
            <w:tcBorders>
              <w:tl2br w:val="nil"/>
              <w:tr2bl w:val="nil"/>
            </w:tcBorders>
            <w:vAlign w:val="top"/>
          </w:tcPr>
          <w:p>
            <w:pPr>
              <w:spacing w:line="240" w:lineRule="auto"/>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生活废水和施工废水</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施工场地内设置临时旱厕，生活污水主要为施工人员洗漱废水，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水质较为简单，可直接泼洒抑尘</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p>
            <w:pPr>
              <w:adjustRightInd w:val="0"/>
              <w:snapToGrid w:val="0"/>
              <w:spacing w:line="240" w:lineRule="auto"/>
              <w:ind w:firstLine="420" w:firstLineChars="200"/>
              <w:jc w:val="left"/>
              <w:rPr>
                <w:rFonts w:hint="default" w:ascii="Times New Roman" w:hAnsi="Times New Roman" w:eastAsia="宋体" w:cs="Times New Roman"/>
                <w:bCs/>
                <w:color w:val="000000" w:themeColor="text1"/>
                <w:kern w:val="2"/>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施工废水主要为施工车辆冲洗水、混凝土养护排水等，施工机械冲洗水经隔油沉淀池沉淀后回用于施工；结构阶段混凝土养护排水经简易沉淀池处理后重复用做施工用水。</w:t>
            </w:r>
          </w:p>
        </w:tc>
        <w:tc>
          <w:tcPr>
            <w:tcW w:w="1119" w:type="pct"/>
            <w:tcBorders>
              <w:tl2br w:val="nil"/>
              <w:tr2bl w:val="nil"/>
            </w:tcBorders>
            <w:vAlign w:val="center"/>
          </w:tcPr>
          <w:p>
            <w:pPr>
              <w:keepNext w:val="0"/>
              <w:keepLines/>
              <w:pageBreakBefore w:val="0"/>
              <w:widowControl w:val="0"/>
              <w:kinsoku/>
              <w:wordWrap/>
              <w:overflowPunct/>
              <w:topLinePunct w:val="0"/>
              <w:autoSpaceDE/>
              <w:autoSpaceDN/>
              <w:bidi w:val="0"/>
              <w:adjustRightInd/>
              <w:snapToGrid w:val="0"/>
              <w:spacing w:before="0" w:beforeLines="0" w:after="0" w:afterLines="0" w:line="240" w:lineRule="auto"/>
              <w:ind w:right="0" w:rightChars="0"/>
              <w:jc w:val="both"/>
              <w:textAlignment w:val="auto"/>
              <w:outlineLvl w:val="9"/>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经调查，施工期有设置沉淀池，产生的废水经沉淀后回用，沉淀回用水用于项目区场地泼洒抑尘，废水无外排现象。现已将临时沉淀池恢复。</w:t>
            </w:r>
          </w:p>
        </w:tc>
        <w:tc>
          <w:tcPr>
            <w:tcW w:w="645" w:type="pct"/>
            <w:tcBorders>
              <w:tl2br w:val="nil"/>
              <w:tr2bl w:val="nil"/>
            </w:tcBorders>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t>项目施工期废水得到合理处置，</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执行效果很好，未对环境产生不良影响。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continue"/>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393"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噪声</w:t>
            </w:r>
          </w:p>
        </w:tc>
        <w:tc>
          <w:tcPr>
            <w:tcW w:w="2449" w:type="pct"/>
            <w:tcBorders>
              <w:tl2br w:val="nil"/>
              <w:tr2bl w:val="nil"/>
            </w:tcBorders>
            <w:vAlign w:val="top"/>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⑴限制运输车辆车速，禁止高音鸣笛；</w:t>
            </w:r>
          </w:p>
          <w:p>
            <w:pPr>
              <w:adjustRightInd w:val="0"/>
              <w:snapToGrid w:val="0"/>
              <w:spacing w:line="240" w:lineRule="auto"/>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⑵严格按照《建筑施工场界环境噪声排放标准》(GB12523-2011)中对建筑施工的有关管理规定和要求，保证施工场界噪声满足昼间＜70dB(A)，禁止夜间施工；</w:t>
            </w:r>
          </w:p>
          <w:p>
            <w:pPr>
              <w:adjustRightInd w:val="0"/>
              <w:snapToGrid w:val="0"/>
              <w:spacing w:line="240" w:lineRule="auto"/>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⑶选用低噪声、低振动设备，采用低噪声、低振动施工工艺；</w:t>
            </w:r>
          </w:p>
          <w:p>
            <w:pPr>
              <w:adjustRightInd w:val="0"/>
              <w:snapToGrid w:val="0"/>
              <w:spacing w:line="240" w:lineRule="auto"/>
              <w:jc w:val="left"/>
              <w:rPr>
                <w:rFonts w:hint="default" w:ascii="Times New Roman" w:hAnsi="Times New Roman" w:eastAsia="宋体" w:cs="Times New Roman"/>
                <w:bCs/>
                <w:color w:val="000000" w:themeColor="text1"/>
                <w:kern w:val="2"/>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⑷</w:t>
            </w:r>
            <w:r>
              <w:rPr>
                <w:rFonts w:hint="default" w:ascii="Times New Roman" w:hAnsi="Times New Roman" w:eastAsia="宋体" w:cs="Times New Roman"/>
                <w:color w:val="000000" w:themeColor="text1"/>
                <w:sz w:val="21"/>
                <w:szCs w:val="21"/>
                <w:highlight w:val="none"/>
                <w14:textFill>
                  <w14:solidFill>
                    <w14:schemeClr w14:val="tx1"/>
                  </w14:solidFill>
                </w14:textFill>
              </w:rPr>
              <w:t>对施工设备及施工车辆要及时保养，保证机械设备的良好运行。</w:t>
            </w:r>
          </w:p>
        </w:tc>
        <w:tc>
          <w:tcPr>
            <w:tcW w:w="1119" w:type="pct"/>
            <w:tcBorders>
              <w:tl2br w:val="nil"/>
              <w:tr2bl w:val="nil"/>
            </w:tcBorders>
            <w:vAlign w:val="center"/>
          </w:tcPr>
          <w:p>
            <w:pPr>
              <w:spacing w:line="240" w:lineRule="auto"/>
              <w:jc w:val="left"/>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eastAsia="zh-CN"/>
                <w14:textFill>
                  <w14:solidFill>
                    <w14:schemeClr w14:val="tx1"/>
                  </w14:solidFill>
                </w14:textFill>
              </w:rPr>
              <w:t>合理的安排了施工机械的使用，减少噪声设备的使用时间。施工期未发生噪声污染事件。</w:t>
            </w:r>
          </w:p>
        </w:tc>
        <w:tc>
          <w:tcPr>
            <w:tcW w:w="645" w:type="pct"/>
            <w:tcBorders>
              <w:tl2br w:val="nil"/>
              <w:tr2bl w:val="nil"/>
            </w:tcBorders>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t>调查过程中未发生噪声扰民情况。</w:t>
            </w:r>
          </w:p>
          <w:p>
            <w:pPr>
              <w:spacing w:line="240" w:lineRule="auto"/>
              <w:jc w:val="left"/>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393"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固体废物</w:t>
            </w:r>
          </w:p>
        </w:tc>
        <w:tc>
          <w:tcPr>
            <w:tcW w:w="2449" w:type="pct"/>
            <w:tcBorders>
              <w:tl2br w:val="nil"/>
              <w:tr2bl w:val="nil"/>
            </w:tcBorders>
            <w:vAlign w:val="top"/>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建筑垃圾、废土石方及施工人员产生的生活垃圾</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筑垃圾中的钢材边角料、废弃包装材料可回收后外售，产生的少量废石、废砖等不可回收部分可用于场内道路的填筑，不外排；根据工程分析，本项目土建挖方量小，而填方量用量较大，无弃方外排；施工期生活垃圾场内设置生活垃圾桶，生活垃圾收集后运往当地生活垃圾填埋场处置。项目施工期固体废弃物均得到有效处理处置，对周围环境影响很小</w:t>
            </w:r>
          </w:p>
        </w:tc>
        <w:tc>
          <w:tcPr>
            <w:tcW w:w="1119" w:type="pct"/>
            <w:tcBorders>
              <w:tl2br w:val="nil"/>
              <w:tr2bl w:val="nil"/>
            </w:tcBorders>
            <w:vAlign w:val="center"/>
          </w:tcPr>
          <w:p>
            <w:pPr>
              <w:adjustRightInd w:val="0"/>
              <w:snapToGrid w:val="0"/>
              <w:spacing w:line="240" w:lineRule="auto"/>
              <w:jc w:val="left"/>
              <w:rPr>
                <w:rFonts w:hint="default" w:ascii="Times New Roman" w:hAnsi="Times New Roman" w:eastAsia="宋体" w:cs="Times New Roman"/>
                <w:color w:val="000000" w:themeColor="text1"/>
                <w:kern w:val="2"/>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建筑垃圾进行回收外售，无弃方，</w:t>
            </w:r>
            <w:r>
              <w:rPr>
                <w:rFonts w:hint="default" w:ascii="Times New Roman" w:hAnsi="Times New Roman" w:eastAsia="宋体" w:cs="Times New Roman"/>
                <w:color w:val="000000" w:themeColor="text1"/>
                <w:sz w:val="21"/>
                <w:szCs w:val="21"/>
                <w:highlight w:val="none"/>
                <w14:textFill>
                  <w14:solidFill>
                    <w14:schemeClr w14:val="tx1"/>
                  </w14:solidFill>
                </w14:textFill>
              </w:rPr>
              <w:t>生活垃圾统一收集，</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由当地环卫部门</w:t>
            </w:r>
            <w:r>
              <w:rPr>
                <w:rFonts w:hint="default" w:ascii="Times New Roman" w:hAnsi="Times New Roman" w:eastAsia="宋体" w:cs="Times New Roman"/>
                <w:color w:val="000000" w:themeColor="text1"/>
                <w:sz w:val="21"/>
                <w:szCs w:val="21"/>
                <w:highlight w:val="none"/>
                <w14:textFill>
                  <w14:solidFill>
                    <w14:schemeClr w14:val="tx1"/>
                  </w14:solidFill>
                </w14:textFill>
              </w:rPr>
              <w:t>进行处理。</w:t>
            </w:r>
          </w:p>
        </w:tc>
        <w:tc>
          <w:tcPr>
            <w:tcW w:w="645" w:type="pct"/>
            <w:tcBorders>
              <w:tl2br w:val="nil"/>
              <w:tr2bl w:val="nil"/>
            </w:tcBorders>
            <w:vAlign w:val="center"/>
          </w:tcPr>
          <w:p>
            <w:pPr>
              <w:adjustRightInd w:val="0"/>
              <w:snapToGrid w:val="0"/>
              <w:spacing w:line="240" w:lineRule="auto"/>
              <w:jc w:val="left"/>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经现场调查，项目施工期固废均得到合理处置。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restar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运营期</w:t>
            </w:r>
          </w:p>
        </w:tc>
        <w:tc>
          <w:tcPr>
            <w:tcW w:w="393"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大气环境</w:t>
            </w:r>
          </w:p>
        </w:tc>
        <w:tc>
          <w:tcPr>
            <w:tcW w:w="2449" w:type="pct"/>
            <w:tcBorders>
              <w:tl2br w:val="nil"/>
              <w:tr2bl w:val="nil"/>
            </w:tcBorders>
          </w:tcPr>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汽油卸油设有密闭油气回收装置，即一次油气回收装置，使卸油置换出的油蒸汽重新收集回到槽车内，运回油库回收。据统计，安装一次油气回收装置，可回收油罐车卸油过程中挥发的95%的油气，对周围环境环境影响较小。</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加油站加油枪都具有一定的自封功能，通过真空泵将油箱内油气回收，即二次油气回收装置。据统计，安装一次油气回收装置，可回收油罐车卸油过程中挥发的95%的油气，少量未捕集的废气在油枪附近无组织排放，对周围环境影响较小。</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汽油储油过程产生的油气经冷凝式油气回收装置后再经4m高排气筒排放</w:t>
            </w:r>
          </w:p>
        </w:tc>
        <w:tc>
          <w:tcPr>
            <w:tcW w:w="1119" w:type="pct"/>
            <w:tcBorders>
              <w:tl2br w:val="nil"/>
              <w:tr2bl w:val="nil"/>
            </w:tcBorders>
            <w:vAlign w:val="center"/>
          </w:tcPr>
          <w:p>
            <w:pPr>
              <w:spacing w:line="240" w:lineRule="auto"/>
              <w:jc w:val="both"/>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本项目严格落实了环评要求的废气治理措施，</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有密闭油气回收装置，加油枪自封。根据检测数据，满足</w:t>
            </w:r>
          </w:p>
        </w:tc>
        <w:tc>
          <w:tcPr>
            <w:tcW w:w="645" w:type="pct"/>
            <w:tcBorders>
              <w:tl2br w:val="nil"/>
              <w:tr2bl w:val="nil"/>
            </w:tcBorders>
          </w:tcPr>
          <w:p>
            <w:pPr>
              <w:spacing w:line="240" w:lineRule="auto"/>
              <w:jc w:val="both"/>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continue"/>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393" w:type="pct"/>
            <w:vMerge w:val="restar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水环境</w:t>
            </w:r>
          </w:p>
        </w:tc>
        <w:tc>
          <w:tcPr>
            <w:tcW w:w="2449"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地表水：</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生产废水：两座加油站油罐清洗委托有相关清洗资质的单位进行专业处理并负责处理清洗废水，该部分废水为危险废物，禁止自行处置或排放</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生活废水：生活污水经各自站区的1座10m</w:t>
            </w:r>
            <w:r>
              <w:rPr>
                <w:rFonts w:hint="default" w:ascii="Times New Roman" w:hAnsi="Times New Roman" w:eastAsia="宋体" w:cs="Times New Roman"/>
                <w:color w:val="000000" w:themeColor="text1"/>
                <w:sz w:val="21"/>
                <w:szCs w:val="21"/>
                <w:highlight w:val="none"/>
                <w:vertAlign w:val="superscript"/>
                <w:lang w:val="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化粪池预处理后排入服务区</w:t>
            </w:r>
            <w:r>
              <w:rPr>
                <w:rFonts w:hint="default" w:ascii="Times New Roman" w:hAnsi="Times New Roman" w:eastAsia="宋体" w:cs="Times New Roman"/>
                <w:color w:val="000000" w:themeColor="text1"/>
                <w:sz w:val="21"/>
                <w:szCs w:val="21"/>
                <w:highlight w:val="none"/>
                <w:lang w:val="zh-CN" w:eastAsia="zh-CN"/>
                <w14:textFill>
                  <w14:solidFill>
                    <w14:schemeClr w14:val="tx1"/>
                  </w14:solidFill>
                </w14:textFill>
              </w:rPr>
              <w:t>一体化污水处理设施进一步处理</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zh-CN" w:eastAsia="zh-CN"/>
                <w14:textFill>
                  <w14:solidFill>
                    <w14:schemeClr w14:val="tx1"/>
                  </w14:solidFill>
                </w14:textFill>
              </w:rPr>
              <w:t>服务区地埋式一体化设施采用生物接触氧化法进一步处理生活污水</w:t>
            </w:r>
          </w:p>
        </w:tc>
        <w:tc>
          <w:tcPr>
            <w:tcW w:w="1119" w:type="pct"/>
            <w:tcBorders>
              <w:tl2br w:val="nil"/>
              <w:tr2bl w:val="nil"/>
            </w:tcBorders>
            <w:vAlign w:val="center"/>
          </w:tcPr>
          <w:p>
            <w:pPr>
              <w:spacing w:line="240" w:lineRule="auto"/>
              <w:jc w:val="cente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本项目落实了环评要求，</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A、B站各</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建设有</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1座10m</w:t>
            </w:r>
            <w:r>
              <w:rPr>
                <w:rFonts w:hint="default" w:ascii="Times New Roman" w:hAnsi="Times New Roman" w:eastAsia="宋体" w:cs="Times New Roman"/>
                <w:color w:val="000000" w:themeColor="text1"/>
                <w:sz w:val="21"/>
                <w:szCs w:val="21"/>
                <w:highlight w:val="none"/>
                <w:vertAlign w:val="superscript"/>
                <w:lang w:val="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化粪池</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由于现阶段车流量较少，工作人员生活废水依托服务区现有废水处理设施排放。</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未对环境产生不良影响。</w:t>
            </w:r>
          </w:p>
        </w:tc>
        <w:tc>
          <w:tcPr>
            <w:tcW w:w="645" w:type="pct"/>
            <w:tcBorders>
              <w:tl2br w:val="nil"/>
              <w:tr2bl w:val="nil"/>
            </w:tcBorders>
            <w:vAlign w:val="center"/>
          </w:tcPr>
          <w:p>
            <w:pPr>
              <w:spacing w:line="240" w:lineRule="auto"/>
              <w:jc w:val="both"/>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continue"/>
            <w:tcBorders>
              <w:tl2br w:val="nil"/>
              <w:tr2bl w:val="nil"/>
            </w:tcBorders>
          </w:tcPr>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tc>
        <w:tc>
          <w:tcPr>
            <w:tcW w:w="393" w:type="pct"/>
            <w:vMerge w:val="continue"/>
            <w:tcBorders>
              <w:tl2br w:val="nil"/>
              <w:tr2bl w:val="nil"/>
            </w:tcBorders>
          </w:tcPr>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tc>
        <w:tc>
          <w:tcPr>
            <w:tcW w:w="2449" w:type="pct"/>
            <w:tcBorders>
              <w:tl2br w:val="nil"/>
              <w:tr2bl w:val="nil"/>
            </w:tcBorders>
          </w:tcPr>
          <w:p>
            <w:pPr>
              <w:adjustRightInd w:val="0"/>
              <w:snapToGrid w:val="0"/>
              <w:spacing w:line="240" w:lineRule="auto"/>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地下水：</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应选用双层油罐进行柴油和汽油的存储。油罐外壁为玻璃钢纤维增强材料，油罐内壁为钢制结构。双层油罐不但具有防腐性能优良、安装简便的特点，还可以安装漏油监测系统，具有全天候实时监测、泄漏自动报警的功能，彻底解决加油站储罐漏油而造成地下水污染的事故发生。</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⑴罐池防腐、防渗。地下罐池应为钢筋混凝土罐池，罐池内壁应设置玻璃钢耐油防渗层。玻璃钢耐油防渗层为复合结构，自罐池内表面向上依次为过渡层、增强层、防渗层、增强层、富树脂层。树脂选用间苯型或双酚A型不饱和聚酯树脂，过渡层增强玻璃钢与油罐池内表面的粘结力，上、下增强层保护防渗层不破坏，防渗层达到防渗效果。表面富树脂层进一步提高防腐性能。实践证明，这种复合结构防渗层在300kPa压力下没有发生渗漏。</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⑵地下储油罐周围设计防渗漏检查孔或检查通道，为及时发现地下油罐渗漏提供条件，防止成品油泄漏造成大面积的地下水污染。</w:t>
            </w:r>
          </w:p>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zh-CN"/>
                <w14:textFill>
                  <w14:solidFill>
                    <w14:schemeClr w14:val="tx1"/>
                  </w14:solidFill>
                </w14:textFill>
              </w:rPr>
              <w:t>⑶罐池的侧壁高度应不小于油罐的高度，从而形成防油堤，在发生漏油事故的情况下可以抑制油品扩散。罐池侧壁也应采取与罐池一样的防腐、防渗处理。</w:t>
            </w:r>
          </w:p>
        </w:tc>
        <w:tc>
          <w:tcPr>
            <w:tcW w:w="1119" w:type="pct"/>
            <w:tcBorders>
              <w:tl2br w:val="nil"/>
              <w:tr2bl w:val="nil"/>
            </w:tcBorders>
            <w:vAlign w:val="center"/>
          </w:tcPr>
          <w:p>
            <w:pPr>
              <w:spacing w:line="240" w:lineRule="auto"/>
              <w:jc w:val="left"/>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严格落实了环评要求，地面进行了防腐、防渗处理。根据监控井监测数据，各项数据均能满足</w:t>
            </w:r>
            <w:r>
              <w:rPr>
                <w:rFonts w:hint="default" w:ascii="Times New Roman" w:hAnsi="Times New Roman" w:eastAsia="宋体" w:cs="Times New Roman"/>
                <w:color w:val="000000" w:themeColor="text1"/>
                <w:kern w:val="44"/>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44"/>
                <w:sz w:val="21"/>
                <w:szCs w:val="21"/>
                <w:highlight w:val="none"/>
                <w:lang w:eastAsia="zh-CN"/>
                <w14:textFill>
                  <w14:solidFill>
                    <w14:schemeClr w14:val="tx1"/>
                  </w14:solidFill>
                </w14:textFill>
              </w:rPr>
              <w:t>地下水质量标准</w:t>
            </w:r>
            <w:r>
              <w:rPr>
                <w:rFonts w:hint="default" w:ascii="Times New Roman" w:hAnsi="Times New Roman" w:eastAsia="宋体" w:cs="Times New Roman"/>
                <w:color w:val="000000" w:themeColor="text1"/>
                <w:kern w:val="44"/>
                <w:sz w:val="21"/>
                <w:szCs w:val="21"/>
                <w:highlight w:val="none"/>
                <w14:textFill>
                  <w14:solidFill>
                    <w14:schemeClr w14:val="tx1"/>
                  </w14:solidFill>
                </w14:textFill>
              </w:rPr>
              <w:t>》（GB</w:t>
            </w:r>
            <w:r>
              <w:rPr>
                <w:rFonts w:hint="default" w:ascii="Times New Roman" w:hAnsi="Times New Roman" w:eastAsia="宋体" w:cs="Times New Roman"/>
                <w:color w:val="000000" w:themeColor="text1"/>
                <w:kern w:val="44"/>
                <w:sz w:val="21"/>
                <w:szCs w:val="21"/>
                <w:highlight w:val="none"/>
                <w:lang w:val="en-US" w:eastAsia="zh-CN"/>
                <w14:textFill>
                  <w14:solidFill>
                    <w14:schemeClr w14:val="tx1"/>
                  </w14:solidFill>
                </w14:textFill>
              </w:rPr>
              <w:t>/T14848</w:t>
            </w:r>
            <w:r>
              <w:rPr>
                <w:rFonts w:hint="default" w:ascii="Times New Roman" w:hAnsi="Times New Roman" w:eastAsia="宋体" w:cs="Times New Roman"/>
                <w:color w:val="000000" w:themeColor="text1"/>
                <w:kern w:val="44"/>
                <w:sz w:val="21"/>
                <w:szCs w:val="21"/>
                <w:highlight w:val="none"/>
                <w14:textFill>
                  <w14:solidFill>
                    <w14:schemeClr w14:val="tx1"/>
                  </w14:solidFill>
                </w14:textFill>
              </w:rPr>
              <w:t>-20</w:t>
            </w:r>
            <w:r>
              <w:rPr>
                <w:rFonts w:hint="default" w:ascii="Times New Roman" w:hAnsi="Times New Roman" w:eastAsia="宋体" w:cs="Times New Roman"/>
                <w:color w:val="000000" w:themeColor="text1"/>
                <w:kern w:val="44"/>
                <w:sz w:val="21"/>
                <w:szCs w:val="21"/>
                <w:highlight w:val="none"/>
                <w:lang w:val="en-US" w:eastAsia="zh-CN"/>
                <w14:textFill>
                  <w14:solidFill>
                    <w14:schemeClr w14:val="tx1"/>
                  </w14:solidFill>
                </w14:textFill>
              </w:rPr>
              <w:t>17</w:t>
            </w:r>
            <w:r>
              <w:rPr>
                <w:rFonts w:hint="default" w:ascii="Times New Roman" w:hAnsi="Times New Roman" w:eastAsia="宋体" w:cs="Times New Roman"/>
                <w:color w:val="000000" w:themeColor="text1"/>
                <w:kern w:val="44"/>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44"/>
                <w:sz w:val="21"/>
                <w:szCs w:val="21"/>
                <w:highlight w:val="none"/>
                <w:lang w:eastAsia="zh-CN"/>
                <w14:textFill>
                  <w14:solidFill>
                    <w14:schemeClr w14:val="tx1"/>
                  </w14:solidFill>
                </w14:textFill>
              </w:rPr>
              <w:t>中Ⅲ类标准限值。</w:t>
            </w:r>
          </w:p>
        </w:tc>
        <w:tc>
          <w:tcPr>
            <w:tcW w:w="645" w:type="pct"/>
            <w:tcBorders>
              <w:tl2br w:val="nil"/>
              <w:tr2bl w:val="nil"/>
            </w:tcBorders>
            <w:vAlign w:val="center"/>
          </w:tcPr>
          <w:p>
            <w:pPr>
              <w:spacing w:line="240" w:lineRule="auto"/>
              <w:jc w:val="both"/>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1" w:type="pct"/>
            <w:vMerge w:val="restart"/>
            <w:tcBorders>
              <w:tl2br w:val="nil"/>
              <w:tr2bl w:val="nil"/>
            </w:tcBorders>
          </w:tcPr>
          <w:p>
            <w:pPr>
              <w:spacing w:line="240" w:lineRule="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393" w:type="pct"/>
            <w:tcBorders>
              <w:tl2br w:val="nil"/>
              <w:tr2bl w:val="nil"/>
            </w:tcBorders>
          </w:tcPr>
          <w:p>
            <w:pPr>
              <w:spacing w:line="240" w:lineRule="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声环境</w:t>
            </w:r>
          </w:p>
        </w:tc>
        <w:tc>
          <w:tcPr>
            <w:tcW w:w="2449" w:type="pct"/>
            <w:tcBorders>
              <w:tl2br w:val="nil"/>
              <w:tr2bl w:val="nil"/>
            </w:tcBorders>
          </w:tcPr>
          <w:p>
            <w:pPr>
              <w:pStyle w:val="60"/>
              <w:spacing w:line="240"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噪声主要来源于油罐车和加油车辆在进出加油站时产生的交通噪声、潜油泵（地下）和加油机产生的设备噪声。</w:t>
            </w:r>
            <w:r>
              <w:rPr>
                <w:rFonts w:hint="default" w:ascii="Times New Roman" w:hAnsi="Times New Roman" w:eastAsia="宋体" w:cs="Times New Roman"/>
                <w:color w:val="000000" w:themeColor="text1"/>
                <w:sz w:val="21"/>
                <w:szCs w:val="21"/>
                <w:highlight w:val="none"/>
                <w14:textFill>
                  <w14:solidFill>
                    <w14:schemeClr w14:val="tx1"/>
                  </w14:solidFill>
                </w14:textFill>
              </w:rPr>
              <w:t>项目选用低噪设备，加强设备的维修与日常保养，使之正常运转；潜油泵位于地下，采取了减振、隔声的措施。对于夜间进出加油的车辆应加强管理，慢速行驶，禁止鸣笛，</w:t>
            </w:r>
            <w:r>
              <w:rPr>
                <w:rFonts w:hint="default" w:ascii="Times New Roman" w:hAnsi="Times New Roman" w:eastAsia="宋体" w:cs="Times New Roman"/>
                <w:bCs/>
                <w:color w:val="000000" w:themeColor="text1"/>
                <w:sz w:val="21"/>
                <w:szCs w:val="21"/>
                <w:highlight w:val="none"/>
                <w14:textFill>
                  <w14:solidFill>
                    <w14:schemeClr w14:val="tx1"/>
                  </w14:solidFill>
                </w14:textFill>
              </w:rPr>
              <w:t>防止汽车怠速产生的交通噪声</w:t>
            </w:r>
            <w:r>
              <w:rPr>
                <w:rFonts w:hint="default" w:ascii="Times New Roman" w:hAnsi="Times New Roman" w:eastAsia="宋体" w:cs="Times New Roman"/>
                <w:color w:val="000000" w:themeColor="text1"/>
                <w:sz w:val="21"/>
                <w:szCs w:val="21"/>
                <w:highlight w:val="none"/>
                <w14:textFill>
                  <w14:solidFill>
                    <w14:schemeClr w14:val="tx1"/>
                  </w14:solidFill>
                </w14:textFill>
              </w:rPr>
              <w:t>，尽量避免对周边环境产生影响。</w:t>
            </w:r>
          </w:p>
        </w:tc>
        <w:tc>
          <w:tcPr>
            <w:tcW w:w="1119" w:type="pct"/>
            <w:tcBorders>
              <w:tl2br w:val="nil"/>
              <w:tr2bl w:val="nil"/>
            </w:tcBorders>
          </w:tcPr>
          <w:p>
            <w:pPr>
              <w:spacing w:line="240" w:lineRule="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噪声经</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隔音门窗、消声器减噪、</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隔声</w:t>
            </w:r>
          </w:p>
          <w:p>
            <w:pPr>
              <w:spacing w:line="240" w:lineRule="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由验收监测结果可知，项目运营期间噪声排放满足</w:t>
            </w:r>
            <w:r>
              <w:rPr>
                <w:rFonts w:hint="default" w:ascii="Times New Roman" w:hAnsi="Times New Roman" w:eastAsia="宋体" w:cs="Times New Roman"/>
                <w:color w:val="000000" w:themeColor="text1"/>
                <w:kern w:val="44"/>
                <w:sz w:val="21"/>
                <w:szCs w:val="21"/>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 w:val="21"/>
                <w:szCs w:val="21"/>
                <w:highlight w:val="none"/>
                <w14:textFill>
                  <w14:solidFill>
                    <w14:schemeClr w14:val="tx1"/>
                  </w14:solidFill>
                </w14:textFill>
              </w:rPr>
              <w:t>2类</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区标准</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要求</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645" w:type="pct"/>
            <w:tcBorders>
              <w:tl2br w:val="nil"/>
              <w:tr2bl w:val="nil"/>
            </w:tcBorders>
          </w:tcPr>
          <w:p>
            <w:pPr>
              <w:spacing w:line="240" w:lineRule="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0" w:hRule="atLeast"/>
        </w:trPr>
        <w:tc>
          <w:tcPr>
            <w:tcW w:w="391" w:type="pct"/>
            <w:vMerge w:val="continue"/>
            <w:tcBorders>
              <w:tl2br w:val="nil"/>
              <w:tr2bl w:val="nil"/>
            </w:tcBorders>
          </w:tcPr>
          <w:p>
            <w:pPr>
              <w:spacing w:line="240" w:lineRule="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393" w:type="pct"/>
            <w:tcBorders>
              <w:tl2br w:val="nil"/>
              <w:tr2bl w:val="nil"/>
            </w:tcBorders>
          </w:tcPr>
          <w:p>
            <w:pPr>
              <w:spacing w:line="240" w:lineRule="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固体废物</w:t>
            </w:r>
          </w:p>
        </w:tc>
        <w:tc>
          <w:tcPr>
            <w:tcW w:w="2449" w:type="pct"/>
            <w:tcBorders>
              <w:tl2br w:val="nil"/>
              <w:tr2bl w:val="nil"/>
            </w:tcBorders>
          </w:tcPr>
          <w:p>
            <w:pPr>
              <w:adjustRightInd w:val="0"/>
              <w:snapToGrid w:val="0"/>
              <w:spacing w:line="240" w:lineRule="auto"/>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加油站储油罐专罐专用，罐体约三至五年清理一次，</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建设</w:t>
            </w:r>
            <w:r>
              <w:rPr>
                <w:rFonts w:hint="default" w:ascii="Times New Roman" w:hAnsi="Times New Roman" w:eastAsia="宋体" w:cs="Times New Roman"/>
                <w:color w:val="000000" w:themeColor="text1"/>
                <w:sz w:val="21"/>
                <w:szCs w:val="21"/>
                <w:highlight w:val="none"/>
                <w14:textFill>
                  <w14:solidFill>
                    <w14:schemeClr w14:val="tx1"/>
                  </w14:solidFill>
                </w14:textFill>
              </w:rPr>
              <w:t>单位须委托具有清洗资质的专业单位负责进行专业清洗，油罐清洗产生的废渣为危险废物，本项目油罐清洗产生的废油渣危险废物在清洗完油罐后，委托油罐清理单位负责及时清运处理，不得在遗留在加油站内，故加油站内不设置危险废物暂存间。</w:t>
            </w:r>
          </w:p>
          <w:p>
            <w:pPr>
              <w:pStyle w:val="60"/>
              <w:spacing w:line="240" w:lineRule="auto"/>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生活垃圾</w:t>
            </w:r>
            <w:r>
              <w:rPr>
                <w:rFonts w:hint="default" w:ascii="Times New Roman" w:hAnsi="Times New Roman" w:eastAsia="宋体" w:cs="Times New Roman"/>
                <w:color w:val="000000" w:themeColor="text1"/>
                <w:sz w:val="21"/>
                <w:szCs w:val="21"/>
                <w:highlight w:val="none"/>
                <w14:textFill>
                  <w14:solidFill>
                    <w14:schemeClr w14:val="tx1"/>
                  </w14:solidFill>
                </w14:textFill>
              </w:rPr>
              <w:t>经集中收集后交</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服务区</w:t>
            </w:r>
            <w:r>
              <w:rPr>
                <w:rFonts w:hint="default" w:ascii="Times New Roman" w:hAnsi="Times New Roman" w:eastAsia="宋体" w:cs="Times New Roman"/>
                <w:color w:val="000000" w:themeColor="text1"/>
                <w:sz w:val="21"/>
                <w:szCs w:val="21"/>
                <w:highlight w:val="none"/>
                <w14:textFill>
                  <w14:solidFill>
                    <w14:schemeClr w14:val="tx1"/>
                  </w14:solidFill>
                </w14:textFill>
              </w:rPr>
              <w:t>统一处理</w:t>
            </w:r>
          </w:p>
        </w:tc>
        <w:tc>
          <w:tcPr>
            <w:tcW w:w="1119" w:type="pct"/>
            <w:tcBorders>
              <w:tl2br w:val="nil"/>
              <w:tr2bl w:val="nil"/>
            </w:tcBorders>
            <w:vAlign w:val="top"/>
          </w:tcPr>
          <w:p>
            <w:pPr>
              <w:spacing w:line="240" w:lineRule="auto"/>
              <w:rPr>
                <w:rFonts w:hint="default" w:ascii="Times New Roman" w:hAnsi="Times New Roman" w:eastAsia="宋体" w:cs="Times New Roman"/>
                <w:color w:val="000000" w:themeColor="text1"/>
                <w:kern w:val="0"/>
                <w:sz w:val="21"/>
                <w:szCs w:val="21"/>
                <w:highlight w:val="none"/>
                <w:lang w:val="zh-CN"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项目产生的</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生活垃圾</w:t>
            </w:r>
            <w:r>
              <w:rPr>
                <w:rFonts w:hint="default" w:ascii="Times New Roman" w:hAnsi="Times New Roman" w:eastAsia="宋体" w:cs="Times New Roman"/>
                <w:color w:val="000000" w:themeColor="text1"/>
                <w:sz w:val="21"/>
                <w:szCs w:val="21"/>
                <w:highlight w:val="none"/>
                <w14:textFill>
                  <w14:solidFill>
                    <w14:schemeClr w14:val="tx1"/>
                  </w14:solidFill>
                </w14:textFill>
              </w:rPr>
              <w:t>按要求进行处理，</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措施落实到位。经现场调查，项目产生的固废按照环评要求处置，未发现危险废物存在。</w:t>
            </w:r>
          </w:p>
        </w:tc>
        <w:tc>
          <w:tcPr>
            <w:tcW w:w="645" w:type="pct"/>
            <w:tcBorders>
              <w:tl2br w:val="nil"/>
              <w:tr2bl w:val="nil"/>
            </w:tcBorders>
            <w:vAlign w:val="top"/>
          </w:tcPr>
          <w:p>
            <w:pPr>
              <w:spacing w:line="240" w:lineRule="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由于加油站刚开始运行，罐体还不需要清洗，暂时没有签订清洗协议，后期补签。</w:t>
            </w:r>
          </w:p>
        </w:tc>
      </w:tr>
    </w:tbl>
    <w:p>
      <w:pPr>
        <w:adjustRightInd w:val="0"/>
        <w:snapToGrid w:val="0"/>
        <w:spacing w:line="360" w:lineRule="auto"/>
        <w:rPr>
          <w:b/>
          <w:snapToGrid w:val="0"/>
          <w:color w:val="000000" w:themeColor="text1"/>
          <w:spacing w:val="6"/>
          <w:kern w:val="0"/>
          <w:sz w:val="24"/>
          <w:highlight w:val="none"/>
          <w14:textFill>
            <w14:solidFill>
              <w14:schemeClr w14:val="tx1"/>
            </w14:solidFill>
          </w14:textFill>
        </w:rPr>
      </w:pPr>
      <w:r>
        <w:rPr>
          <w:rFonts w:hint="eastAsia"/>
          <w:b/>
          <w:snapToGrid w:val="0"/>
          <w:color w:val="000000" w:themeColor="text1"/>
          <w:spacing w:val="6"/>
          <w:kern w:val="0"/>
          <w:sz w:val="24"/>
          <w:highlight w:val="none"/>
          <w:lang w:val="en-US" w:eastAsia="zh-CN"/>
          <w14:textFill>
            <w14:solidFill>
              <w14:schemeClr w14:val="tx1"/>
            </w14:solidFill>
          </w14:textFill>
        </w:rPr>
        <w:t>4.8</w:t>
      </w:r>
      <w:r>
        <w:rPr>
          <w:rFonts w:hint="eastAsia"/>
          <w:b/>
          <w:snapToGrid w:val="0"/>
          <w:color w:val="000000" w:themeColor="text1"/>
          <w:spacing w:val="6"/>
          <w:kern w:val="0"/>
          <w:sz w:val="24"/>
          <w:highlight w:val="none"/>
          <w14:textFill>
            <w14:solidFill>
              <w14:schemeClr w14:val="tx1"/>
            </w14:solidFill>
          </w14:textFill>
        </w:rPr>
        <w:t>环评</w:t>
      </w:r>
      <w:r>
        <w:rPr>
          <w:b/>
          <w:snapToGrid w:val="0"/>
          <w:color w:val="000000" w:themeColor="text1"/>
          <w:spacing w:val="6"/>
          <w:kern w:val="0"/>
          <w:sz w:val="24"/>
          <w:highlight w:val="none"/>
          <w14:textFill>
            <w14:solidFill>
              <w14:schemeClr w14:val="tx1"/>
            </w14:solidFill>
          </w14:textFill>
        </w:rPr>
        <w:t>批复意见</w:t>
      </w:r>
      <w:r>
        <w:rPr>
          <w:rFonts w:hint="eastAsia"/>
          <w:b/>
          <w:snapToGrid w:val="0"/>
          <w:color w:val="000000" w:themeColor="text1"/>
          <w:spacing w:val="6"/>
          <w:kern w:val="0"/>
          <w:sz w:val="24"/>
          <w:highlight w:val="none"/>
          <w:lang w:eastAsia="zh-CN"/>
          <w14:textFill>
            <w14:solidFill>
              <w14:schemeClr w14:val="tx1"/>
            </w14:solidFill>
          </w14:textFill>
        </w:rPr>
        <w:t>落实</w:t>
      </w:r>
      <w:r>
        <w:rPr>
          <w:b/>
          <w:snapToGrid w:val="0"/>
          <w:color w:val="000000" w:themeColor="text1"/>
          <w:spacing w:val="6"/>
          <w:kern w:val="0"/>
          <w:sz w:val="24"/>
          <w:highlight w:val="none"/>
          <w14:textFill>
            <w14:solidFill>
              <w14:schemeClr w14:val="tx1"/>
            </w14:solidFill>
          </w14:textFill>
        </w:rPr>
        <w:t>情况</w:t>
      </w:r>
    </w:p>
    <w:p>
      <w:pPr>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4"/>
          <w:szCs w:val="24"/>
          <w:highlight w:val="none"/>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4"/>
          <w:szCs w:val="24"/>
          <w:highlight w:val="none"/>
          <w:lang w:eastAsia="zh-CN"/>
          <w14:textFill>
            <w14:solidFill>
              <w14:schemeClr w14:val="tx1"/>
            </w14:solidFill>
          </w14:textFill>
        </w:rPr>
        <w:t>项目环评</w:t>
      </w:r>
      <w:r>
        <w:rPr>
          <w:rFonts w:hint="default" w:ascii="Times New Roman" w:hAnsi="Times New Roman" w:eastAsia="宋体" w:cs="Times New Roman"/>
          <w:snapToGrid w:val="0"/>
          <w:color w:val="000000" w:themeColor="text1"/>
          <w:spacing w:val="0"/>
          <w:kern w:val="0"/>
          <w:sz w:val="24"/>
          <w:szCs w:val="24"/>
          <w:highlight w:val="none"/>
          <w14:textFill>
            <w14:solidFill>
              <w14:schemeClr w14:val="tx1"/>
            </w14:solidFill>
          </w14:textFill>
        </w:rPr>
        <w:t>审批文件中要求的</w:t>
      </w:r>
      <w:r>
        <w:rPr>
          <w:rFonts w:hint="default" w:ascii="Times New Roman" w:hAnsi="Times New Roman" w:eastAsia="宋体" w:cs="Times New Roman"/>
          <w:snapToGrid w:val="0"/>
          <w:color w:val="000000" w:themeColor="text1"/>
          <w:spacing w:val="0"/>
          <w:kern w:val="0"/>
          <w:sz w:val="24"/>
          <w:szCs w:val="24"/>
          <w:highlight w:val="none"/>
          <w:lang w:eastAsia="zh-CN"/>
          <w14:textFill>
            <w14:solidFill>
              <w14:schemeClr w14:val="tx1"/>
            </w14:solidFill>
          </w14:textFill>
        </w:rPr>
        <w:t>落实</w:t>
      </w:r>
      <w:r>
        <w:rPr>
          <w:rFonts w:hint="default" w:ascii="Times New Roman" w:hAnsi="Times New Roman" w:eastAsia="宋体" w:cs="Times New Roman"/>
          <w:snapToGrid w:val="0"/>
          <w:color w:val="000000" w:themeColor="text1"/>
          <w:spacing w:val="0"/>
          <w:kern w:val="0"/>
          <w:sz w:val="24"/>
          <w:szCs w:val="24"/>
          <w:highlight w:val="none"/>
          <w14:textFill>
            <w14:solidFill>
              <w14:schemeClr w14:val="tx1"/>
            </w14:solidFill>
          </w14:textFill>
        </w:rPr>
        <w:t>情况见表</w:t>
      </w:r>
      <w:r>
        <w:rPr>
          <w:rFonts w:hint="default" w:ascii="Times New Roman" w:hAnsi="Times New Roman" w:eastAsia="宋体" w:cs="Times New Roman"/>
          <w:snapToGrid w:val="0"/>
          <w:color w:val="000000" w:themeColor="text1"/>
          <w:spacing w:val="0"/>
          <w:kern w:val="0"/>
          <w:sz w:val="24"/>
          <w:szCs w:val="24"/>
          <w:highlight w:val="none"/>
          <w:lang w:val="en-US" w:eastAsia="zh-CN"/>
          <w14:textFill>
            <w14:solidFill>
              <w14:schemeClr w14:val="tx1"/>
            </w14:solidFill>
          </w14:textFill>
        </w:rPr>
        <w:t>4</w:t>
      </w:r>
      <w:r>
        <w:rPr>
          <w:rFonts w:hint="default" w:ascii="Times New Roman" w:hAnsi="Times New Roman" w:eastAsia="宋体" w:cs="Times New Roman"/>
          <w:snapToGrid w:val="0"/>
          <w:color w:val="000000" w:themeColor="text1"/>
          <w:spacing w:val="0"/>
          <w:kern w:val="0"/>
          <w:sz w:val="24"/>
          <w:szCs w:val="24"/>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4"/>
          <w:szCs w:val="24"/>
          <w:highlight w:val="none"/>
          <w:lang w:val="en-US" w:eastAsia="zh-CN"/>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4"/>
          <w:szCs w:val="24"/>
          <w:highlight w:val="none"/>
          <w14:textFill>
            <w14:solidFill>
              <w14:schemeClr w14:val="tx1"/>
            </w14:solidFill>
          </w14:textFill>
        </w:rPr>
        <w:t>。</w:t>
      </w:r>
    </w:p>
    <w:p>
      <w:pPr>
        <w:keepNext w:val="0"/>
        <w:keepLines w:val="0"/>
        <w:pageBreakBefore w:val="0"/>
        <w:kinsoku/>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pPr>
    </w:p>
    <w:p>
      <w:pPr>
        <w:keepNext w:val="0"/>
        <w:keepLines w:val="0"/>
        <w:pageBreakBefore w:val="0"/>
        <w:kinsoku/>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pPr>
      <w: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t>表</w:t>
      </w:r>
      <w:r>
        <w:rPr>
          <w:rFonts w:hint="default" w:ascii="Times New Roman" w:hAnsi="Times New Roman" w:eastAsia="宋体" w:cs="Times New Roman"/>
          <w:b/>
          <w:snapToGrid w:val="0"/>
          <w:color w:val="000000" w:themeColor="text1"/>
          <w:spacing w:val="0"/>
          <w:kern w:val="0"/>
          <w:sz w:val="24"/>
          <w:szCs w:val="24"/>
          <w:highlight w:val="none"/>
          <w:lang w:val="en-US" w:eastAsia="zh-CN"/>
          <w14:textFill>
            <w14:solidFill>
              <w14:schemeClr w14:val="tx1"/>
            </w14:solidFill>
          </w14:textFill>
        </w:rPr>
        <w:t>4</w:t>
      </w:r>
      <w: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t>-</w:t>
      </w:r>
      <w:r>
        <w:rPr>
          <w:rFonts w:hint="default" w:ascii="Times New Roman" w:hAnsi="Times New Roman" w:eastAsia="宋体" w:cs="Times New Roman"/>
          <w:b/>
          <w:snapToGrid w:val="0"/>
          <w:color w:val="000000" w:themeColor="text1"/>
          <w:spacing w:val="0"/>
          <w:kern w:val="0"/>
          <w:sz w:val="24"/>
          <w:szCs w:val="24"/>
          <w:highlight w:val="none"/>
          <w:lang w:val="en-US" w:eastAsia="zh-CN"/>
          <w14:textFill>
            <w14:solidFill>
              <w14:schemeClr w14:val="tx1"/>
            </w14:solidFill>
          </w14:textFill>
        </w:rPr>
        <w:t>2</w:t>
      </w:r>
      <w: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t xml:space="preserve">  </w:t>
      </w:r>
      <w:r>
        <w:rPr>
          <w:rFonts w:hint="default" w:ascii="Times New Roman" w:hAnsi="Times New Roman" w:eastAsia="宋体" w:cs="Times New Roman"/>
          <w:b/>
          <w:snapToGrid w:val="0"/>
          <w:color w:val="000000" w:themeColor="text1"/>
          <w:spacing w:val="0"/>
          <w:kern w:val="0"/>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t>审批文件中要求的</w:t>
      </w:r>
      <w:r>
        <w:rPr>
          <w:rFonts w:hint="default" w:ascii="Times New Roman" w:hAnsi="Times New Roman" w:eastAsia="宋体" w:cs="Times New Roman"/>
          <w:b/>
          <w:snapToGrid w:val="0"/>
          <w:color w:val="000000" w:themeColor="text1"/>
          <w:spacing w:val="0"/>
          <w:kern w:val="0"/>
          <w:sz w:val="24"/>
          <w:szCs w:val="24"/>
          <w:highlight w:val="none"/>
          <w:lang w:eastAsia="zh-CN"/>
          <w14:textFill>
            <w14:solidFill>
              <w14:schemeClr w14:val="tx1"/>
            </w14:solidFill>
          </w14:textFill>
        </w:rPr>
        <w:t>落实</w:t>
      </w:r>
      <w:r>
        <w:rPr>
          <w:rFonts w:hint="default" w:ascii="Times New Roman" w:hAnsi="Times New Roman" w:eastAsia="宋体" w:cs="Times New Roman"/>
          <w:b/>
          <w:snapToGrid w:val="0"/>
          <w:color w:val="000000" w:themeColor="text1"/>
          <w:spacing w:val="0"/>
          <w:kern w:val="0"/>
          <w:sz w:val="24"/>
          <w:szCs w:val="24"/>
          <w:highlight w:val="none"/>
          <w14:textFill>
            <w14:solidFill>
              <w14:schemeClr w14:val="tx1"/>
            </w14:solidFill>
          </w14:textFill>
        </w:rPr>
        <w:t>情况</w:t>
      </w:r>
    </w:p>
    <w:tbl>
      <w:tblPr>
        <w:tblStyle w:val="22"/>
        <w:tblW w:w="134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08"/>
        <w:gridCol w:w="4855"/>
        <w:gridCol w:w="156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08"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主要批复意见</w:t>
            </w:r>
          </w:p>
        </w:tc>
        <w:tc>
          <w:tcPr>
            <w:tcW w:w="4855"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spacing w:val="0"/>
                <w:kern w:val="0"/>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14:textFill>
                  <w14:solidFill>
                    <w14:schemeClr w14:val="tx1"/>
                  </w14:solidFill>
                </w14:textFill>
              </w:rPr>
              <w:t>落实情况</w:t>
            </w:r>
          </w:p>
        </w:tc>
        <w:tc>
          <w:tcPr>
            <w:tcW w:w="1566"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08" w:type="dxa"/>
            <w:vAlign w:val="center"/>
          </w:tcPr>
          <w:p>
            <w:pPr>
              <w:pStyle w:val="47"/>
              <w:keepNext w:val="0"/>
              <w:keepLines w:val="0"/>
              <w:pageBreakBefore w:val="0"/>
              <w:widowControl/>
              <w:numPr>
                <w:ilvl w:val="0"/>
                <w:numId w:val="0"/>
              </w:numPr>
              <w:kinsoku/>
              <w:wordWrap/>
              <w:overflowPunct/>
              <w:topLinePunct w:val="0"/>
              <w:autoSpaceDE/>
              <w:autoSpaceDN/>
              <w:bidi w:val="0"/>
              <w:adjustRightInd/>
              <w:snapToGrid/>
              <w:spacing w:line="240" w:lineRule="auto"/>
              <w:ind w:leftChars="0" w:firstLine="0" w:firstLineChars="0"/>
              <w:jc w:val="both"/>
              <w:textAlignment w:val="auto"/>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本项目建设地点位于临夏县麻尼寺沟乡（双达高速韩集服务区内），A站位于双达高速韩集服务区内北侧，地理坐标为东经102°55'53.71''，北纬35°30'08.59''；B站位于双达高速韩集服务区内南侧，地理坐标为东经102°55152.40''，北纬35°30'05.13''。本项目加油加气站为AB两座站，属于加油与LNG加气合建站。两座加油加气站主要建设内容一致，每座站占地面积占地5068m，每座站新建二层站房一座，建筑面积为458.28m，建筑结构为框架结构；每座站新建螺栓球网架结构罩棚1座，建筑面积616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，混凝土立柱，净高6.0m。每座站设有SF双层卧式埋地储油罐5个（其中40m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柴油储罐2座、40m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汽油储罐2座、30m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汽油储罐1座）；每座站设箱式LNG橇装设备1套（含60m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低温卧式储罐1座，储罐/卸车增压器1台，EAG加热器1台，LNG潜液泵2台），LNG单枪加气机2台，B0G回收橇1套。单座加油加气站储油罐总容量190m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，折标容量为150m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，加气部分为1座60m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低温卧式储罐，LNG储罐总容积与油品储罐总容积合计为210m</w:t>
            </w:r>
            <w:r>
              <w:rPr>
                <w:rFonts w:hint="default" w:ascii="Times New Roman" w:hAnsi="Times New Roman" w:eastAsia="宋体" w:cs="Times New Roman"/>
                <w:b w:val="0"/>
                <w:bCs/>
                <w:color w:val="000000" w:themeColor="text1"/>
                <w:spacing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同时配套油气回收及处理系统、检涌系统及其他附屬设施。该项目两座加油加气站均为一级加油加气合建站。本项目单座加油加气站投资1200万元，AB两座站合计投资2400万元，其中环保投资82.2万元，占总投资的3.4%。</w:t>
            </w:r>
          </w:p>
        </w:tc>
        <w:tc>
          <w:tcPr>
            <w:tcW w:w="4855" w:type="dxa"/>
            <w:vAlign w:val="top"/>
          </w:tcPr>
          <w:p>
            <w:pPr>
              <w:pStyle w:val="27"/>
              <w:keepNext w:val="0"/>
              <w:keepLines w:val="0"/>
              <w:pageBreakBefore w:val="0"/>
              <w:kinsoku/>
              <w:wordWrap/>
              <w:overflowPunct/>
              <w:topLinePunct w:val="0"/>
              <w:bidi w:val="0"/>
              <w:spacing w:line="240" w:lineRule="auto"/>
              <w:ind w:firstLine="0" w:firstLineChars="0"/>
              <w:jc w:val="both"/>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根据现场</w:t>
            </w:r>
            <w:r>
              <w:rPr>
                <w:rFonts w:hint="eastAsia" w:ascii="Times New Roman" w:cs="Times New Roman"/>
                <w:snapToGrid w:val="0"/>
                <w:color w:val="000000" w:themeColor="text1"/>
                <w:spacing w:val="0"/>
                <w:kern w:val="0"/>
                <w:sz w:val="21"/>
                <w:szCs w:val="21"/>
                <w:highlight w:val="none"/>
                <w:lang w:val="en-US" w:eastAsia="zh-CN" w:bidi="ar-SA"/>
                <w14:textFill>
                  <w14:solidFill>
                    <w14:schemeClr w14:val="tx1"/>
                  </w14:solidFill>
                </w14:textFill>
              </w:rPr>
              <w:t>调查</w:t>
            </w: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，本项目建设地点位于临夏县麻尼寺沟乡（双达高速韩集服务区内），</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主要建设AB两座加油站，加油站分布在临夏县麻尼寺沟乡（双达高速韩集服务区内）</w:t>
            </w:r>
            <w:r>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t>南北两侧</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，每座加油站占地面积</w:t>
            </w:r>
            <w:r>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t>5068m</w:t>
            </w:r>
            <w:r>
              <w:rPr>
                <w:rFonts w:hint="default" w:ascii="Times New Roman" w:hAnsi="Times New Roman" w:eastAsia="宋体" w:cs="Times New Roman"/>
                <w:snapToGrid w:val="0"/>
                <w:color w:val="000000" w:themeColor="text1"/>
                <w:spacing w:val="0"/>
                <w:kern w:val="0"/>
                <w:sz w:val="2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每座设有</w:t>
            </w:r>
            <w:r>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t>5</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个储油罐，其中40m</w:t>
            </w:r>
            <w:r>
              <w:rPr>
                <w:rFonts w:hint="default" w:ascii="Times New Roman" w:hAnsi="Times New Roman" w:eastAsia="宋体" w:cs="Times New Roman"/>
                <w:snapToGrid w:val="0"/>
                <w:color w:val="000000" w:themeColor="text1"/>
                <w:spacing w:val="0"/>
                <w:kern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埋地柴油储罐2具、40m</w:t>
            </w:r>
            <w:r>
              <w:rPr>
                <w:rFonts w:hint="default" w:ascii="Times New Roman" w:hAnsi="Times New Roman" w:eastAsia="宋体" w:cs="Times New Roman"/>
                <w:snapToGrid w:val="0"/>
                <w:color w:val="000000" w:themeColor="text1"/>
                <w:spacing w:val="0"/>
                <w:kern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埋地汽油储罐2具、30m</w:t>
            </w:r>
            <w:r>
              <w:rPr>
                <w:rFonts w:hint="default" w:ascii="Times New Roman" w:hAnsi="Times New Roman" w:eastAsia="宋体" w:cs="Times New Roman"/>
                <w:snapToGrid w:val="0"/>
                <w:color w:val="000000" w:themeColor="text1"/>
                <w:spacing w:val="0"/>
                <w:kern w:val="0"/>
                <w:sz w:val="21"/>
                <w:szCs w:val="21"/>
                <w:highlight w:val="none"/>
                <w:vertAlign w:val="superscript"/>
                <w:lang w:val="en-US" w:eastAsia="zh-CN"/>
                <w14:textFill>
                  <w14:solidFill>
                    <w14:schemeClr w14:val="tx1"/>
                  </w14:solidFill>
                </w14:textFill>
              </w:rPr>
              <w:t>3</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埋地汽油储罐1具，油罐均为SF双层油罐</w:t>
            </w:r>
            <w:r>
              <w:rPr>
                <w:rFonts w:hint="eastAsia" w:ascii="Times New Roman" w:cs="Times New Roman"/>
                <w:snapToGrid w:val="0"/>
                <w:color w:val="000000" w:themeColor="text1"/>
                <w:spacing w:val="0"/>
                <w:kern w:val="0"/>
                <w:sz w:val="21"/>
                <w:szCs w:val="21"/>
                <w:highlight w:val="none"/>
                <w:lang w:eastAsia="zh-CN"/>
                <w14:textFill>
                  <w14:solidFill>
                    <w14:schemeClr w14:val="tx1"/>
                  </w14:solidFill>
                </w14:textFill>
              </w:rPr>
              <w:t>，配套</w:t>
            </w:r>
            <w:r>
              <w:rPr>
                <w:rFonts w:hint="eastAsia" w:ascii="Times New Roman" w:cs="Times New Roman"/>
                <w:snapToGrid w:val="0"/>
                <w:color w:val="000000" w:themeColor="text1"/>
                <w:spacing w:val="0"/>
                <w:kern w:val="0"/>
                <w:sz w:val="21"/>
                <w:szCs w:val="21"/>
                <w:highlight w:val="none"/>
                <w:lang w:val="en-US" w:eastAsia="zh-CN"/>
                <w14:textFill>
                  <w14:solidFill>
                    <w14:schemeClr w14:val="tx1"/>
                  </w14:solidFill>
                </w14:textFill>
              </w:rPr>
              <w:t>了</w:t>
            </w:r>
            <w:r>
              <w:rPr>
                <w:rFonts w:hint="eastAsia" w:ascii="Times New Roman" w:cs="Times New Roman"/>
                <w:snapToGrid w:val="0"/>
                <w:color w:val="000000" w:themeColor="text1"/>
                <w:spacing w:val="0"/>
                <w:kern w:val="0"/>
                <w:sz w:val="21"/>
                <w:szCs w:val="21"/>
                <w:highlight w:val="none"/>
                <w:lang w:eastAsia="zh-CN"/>
                <w14:textFill>
                  <w14:solidFill>
                    <w14:schemeClr w14:val="tx1"/>
                  </w14:solidFill>
                </w14:textFill>
              </w:rPr>
              <w:t>油气回收及处理系统、检涌系统及其他附屬设施。</w:t>
            </w:r>
            <w:r>
              <w:rPr>
                <w:rFonts w:hint="eastAsia" w:ascii="Times New Roman" w:cs="Times New Roman"/>
                <w:snapToGrid w:val="0"/>
                <w:color w:val="000000" w:themeColor="text1"/>
                <w:spacing w:val="0"/>
                <w:kern w:val="0"/>
                <w:sz w:val="21"/>
                <w:szCs w:val="21"/>
                <w:highlight w:val="none"/>
                <w:lang w:val="en-US" w:eastAsia="zh-CN"/>
                <w14:textFill>
                  <w14:solidFill>
                    <w14:schemeClr w14:val="tx1"/>
                  </w14:solidFill>
                </w14:textFill>
              </w:rPr>
              <w:t>环保投资较环评阶段有所提高，由于材料、系统费用有所上涨。</w:t>
            </w:r>
          </w:p>
        </w:tc>
        <w:tc>
          <w:tcPr>
            <w:tcW w:w="1566"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eastAsia"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08"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项目在建设过程中应做好以下环境保护工作：</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一）项目建设过程中严格执行《临夏州扬尘污染防治管理办法》之规定，加强施工区域的酒水，保证表面湿度，减少起尘量；施工区域外围设置围挡，封闭作业，缩小施工现场扬尘和尾气扩散范围。物料运输车辆采取遮盖、密闭措施，避免沿途洒脱，引起扬尘飘散；行驶路面酒水降尘，降低车辆碾压产生无组织扬尘：运输车辆轮胎定期冲中洗，不得将泥沙带出施工区域。确保施工期废气排放满足《大气污染物综合排放标准》（GB16297-1996）中无组织排放标准。</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（二）项目施工混凝土养护废水、车辆冲洗废水经隔油沉淀池沉淀后回用于施工过程，不得外排；施工人员盥洗废水用于施工场地泼洒降尘。</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三）施工单位应选用低噪声施工机械设备，合理安排施工作业时间、合理布局施工现场、设置隔声屏障，避免在同一时间集中使用大量的动力机械设备，晚上不得施工。确保施工场界噪声满足《建筑施工场界环境噪声排放标准》（GB12523-2011）要求。</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（四）施工过程中产生的废弃士石方、建筑垃圾集中收集后运往当地政府部门指定的地点处置。生活垃圾集中收集后运送至生活垃圾填埋场处理。</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项目在运营期应做好以下环境保护工作：</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一）运营期在卸油、加油过程中安装以密闭收集为基础的油气回收装置，減少油气向外界溢散；油气后处理装置采用冷凝式油气回收装置，将油气变成液体疙油和高浓度的油气回收利用。废气排放须满足《加油站大气污染物排放标准》（GB20952-2007）排放浓度≤25g/m的要求限值。LNG储罐自然蒸发和LNG卸车废气配备建设1套BOG回收橇装置对产生的废气进行处理。废气排放须满足《挥发性有机物无组织排放控制标准》（GB37822-2019）无组织排放限值。</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二）严格按报告表要求选用防腐性能优良的卧式双层油罐，地下罐池应设置玻璃钢耐油防腐、防渗措施，防止成品油泄漏造成地下水污染。油罐清洗委托有资质的单位进行专业处理并负责处理清洗废水，不得将清洗废水随意倾倒；加油加气站生活污水经各自站区的1座10m3化粪池预处理后排入服务区一体化污水处理设施进一步处理，服务区地埋式一体化设施采用生物接触氧化法进一步处理生活污水，污水达到《城市污水再生利用城市杂用水水质》（GB/TI8920-2002）中绿化用水水质标准后用于服务区及公路绿化浇灌。</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（三）运营期加强机动车及运油罐车应严格管理，设置标示牌，要求车辆进站时减速、禁止鸣笛、加油时车辆熄火等，使区域内的交通噪声降到最低值；对加油泵及卸油泵等均选用低噪声设备，并设置减振垫。</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（四）清理油罐产生的废渣、油污、罐底残液等属危险废物，严格按照危险废物贮存和处置规定，将其全部交由有资质的单位处置，并及时履行备案手续。生活垃圾收集后交环卫部门进行集中处理。</w:t>
            </w:r>
          </w:p>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（五）严格落实环境风险防范措施，加强环境风险管理，及时制定应急预案并定期开展演练。</w:t>
            </w:r>
          </w:p>
        </w:tc>
        <w:tc>
          <w:tcPr>
            <w:tcW w:w="4855" w:type="dxa"/>
            <w:vAlign w:val="center"/>
          </w:tcPr>
          <w:p>
            <w:pPr>
              <w:pStyle w:val="27"/>
              <w:keepNext w:val="0"/>
              <w:keepLines w:val="0"/>
              <w:pageBreakBefore w:val="0"/>
              <w:numPr>
                <w:ilvl w:val="0"/>
                <w:numId w:val="0"/>
              </w:numPr>
              <w:kinsoku/>
              <w:wordWrap/>
              <w:overflowPunct/>
              <w:topLinePunct w:val="0"/>
              <w:bidi w:val="0"/>
              <w:spacing w:line="240" w:lineRule="auto"/>
              <w:ind w:firstLine="0" w:firstLineChars="0"/>
              <w:jc w:val="both"/>
              <w:rPr>
                <w:rFonts w:hint="default" w:ascii="Times New Roman" w:hAnsi="Times New Roman" w:eastAsia="宋体" w:cs="Times New Roman"/>
                <w:snapToGrid w:val="0"/>
                <w:color w:val="000000" w:themeColor="text1"/>
                <w:spacing w:val="0"/>
                <w:kern w:val="0"/>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根据调查，项目建设严格执行了工程建设的环境保护“三同时”制度，施工期及运营期各类污染物均达标</w:t>
            </w:r>
            <w:r>
              <w:rPr>
                <w:rFonts w:hint="default" w:ascii="Times New Roman" w:hAnsi="Times New Roman" w:eastAsia="宋体" w:cs="Times New Roman"/>
                <w:snapToGrid w:val="0"/>
                <w:color w:val="000000" w:themeColor="text1"/>
                <w:spacing w:val="0"/>
                <w:kern w:val="0"/>
                <w:sz w:val="21"/>
                <w:szCs w:val="21"/>
                <w:highlight w:val="none"/>
                <w14:textFill>
                  <w14:solidFill>
                    <w14:schemeClr w14:val="tx1"/>
                  </w14:solidFill>
                </w14:textFill>
              </w:rPr>
              <w:t>。</w:t>
            </w:r>
          </w:p>
          <w:p>
            <w:pPr>
              <w:pStyle w:val="27"/>
              <w:keepNext w:val="0"/>
              <w:keepLines w:val="0"/>
              <w:pageBreakBefore w:val="0"/>
              <w:numPr>
                <w:ilvl w:val="0"/>
                <w:numId w:val="0"/>
              </w:numPr>
              <w:kinsoku/>
              <w:wordWrap/>
              <w:overflowPunct/>
              <w:topLinePunct w:val="0"/>
              <w:bidi w:val="0"/>
              <w:spacing w:line="240" w:lineRule="auto"/>
              <w:ind w:leftChars="0" w:firstLine="0" w:firstLineChars="0"/>
              <w:jc w:val="both"/>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项目采用了一次、二次油气回收系统来进行汽油油气回收，根据监测数据，非甲烷总烃无组织排放浓度能够满足《大气污染物综合排放标准》(GB16297-1996)中相关要求及《加油站大气污染物排放标准》(GB20952-2007)标准。</w:t>
            </w:r>
          </w:p>
          <w:p>
            <w:pPr>
              <w:pStyle w:val="27"/>
              <w:keepNext w:val="0"/>
              <w:keepLines w:val="0"/>
              <w:pageBreakBefore w:val="0"/>
              <w:numPr>
                <w:ilvl w:val="0"/>
                <w:numId w:val="0"/>
              </w:numPr>
              <w:kinsoku/>
              <w:wordWrap/>
              <w:overflowPunct/>
              <w:topLinePunct w:val="0"/>
              <w:bidi w:val="0"/>
              <w:spacing w:line="240" w:lineRule="auto"/>
              <w:ind w:leftChars="0" w:firstLine="0" w:firstLineChars="0"/>
              <w:jc w:val="both"/>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项目还未进行委托有资质的单位进行油罐清洗；项目生活污水是经化粪池预处理后</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排入服务区一体化污水处理设施</w:t>
            </w: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w:t>
            </w:r>
          </w:p>
          <w:p>
            <w:pPr>
              <w:pStyle w:val="27"/>
              <w:keepNext w:val="0"/>
              <w:keepLines w:val="0"/>
              <w:pageBreakBefore w:val="0"/>
              <w:numPr>
                <w:ilvl w:val="0"/>
                <w:numId w:val="0"/>
              </w:numPr>
              <w:kinsoku/>
              <w:wordWrap/>
              <w:overflowPunct/>
              <w:topLinePunct w:val="0"/>
              <w:bidi w:val="0"/>
              <w:spacing w:line="240" w:lineRule="auto"/>
              <w:ind w:leftChars="0" w:firstLine="0" w:firstLineChars="0"/>
              <w:jc w:val="both"/>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项目采取了有效的隔声、消音和减震措施，根据监测报告可知，厂界噪声低于《工业企业厂界环境噪声排放标准》(GB12348-2008)的2类标准。</w:t>
            </w:r>
          </w:p>
          <w:p>
            <w:pPr>
              <w:pStyle w:val="27"/>
              <w:keepNext w:val="0"/>
              <w:keepLines w:val="0"/>
              <w:pageBreakBefore w:val="0"/>
              <w:numPr>
                <w:ilvl w:val="0"/>
                <w:numId w:val="0"/>
              </w:numPr>
              <w:kinsoku/>
              <w:wordWrap/>
              <w:overflowPunct/>
              <w:topLinePunct w:val="0"/>
              <w:bidi w:val="0"/>
              <w:spacing w:line="240" w:lineRule="auto"/>
              <w:ind w:leftChars="0" w:firstLine="0" w:firstLineChars="0"/>
              <w:jc w:val="both"/>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val="en-US" w:eastAsia="zh-CN" w:bidi="ar-SA"/>
                <w14:textFill>
                  <w14:solidFill>
                    <w14:schemeClr w14:val="tx1"/>
                  </w14:solidFill>
                </w14:textFill>
              </w:rPr>
              <w:t>根据现场调查，生活垃圾集中收集并及时处理。</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油罐检修时产生的清罐油泥</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，委托油罐清理单位</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进行处理</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，不遗留在加油站内，加油站内</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不需设置</w:t>
            </w:r>
            <w:r>
              <w:rPr>
                <w:rFonts w:hint="default" w:ascii="Times New Roman" w:hAnsi="Times New Roman" w:eastAsia="宋体" w:cs="Times New Roman"/>
                <w:color w:val="000000" w:themeColor="text1"/>
                <w:spacing w:val="0"/>
                <w:sz w:val="21"/>
                <w:szCs w:val="21"/>
                <w:highlight w:val="none"/>
                <w14:textFill>
                  <w14:solidFill>
                    <w14:schemeClr w14:val="tx1"/>
                  </w14:solidFill>
                </w14:textFill>
              </w:rPr>
              <w:t>危险废物暂存间</w:t>
            </w:r>
            <w:r>
              <w:rPr>
                <w:rFonts w:hint="default" w:ascii="Times New Roman" w:hAnsi="Times New Roman" w:eastAsia="宋体" w:cs="Times New Roman"/>
                <w:color w:val="000000" w:themeColor="text1"/>
                <w:spacing w:val="0"/>
                <w:sz w:val="21"/>
                <w:szCs w:val="21"/>
                <w:highlight w:val="none"/>
                <w:lang w:eastAsia="zh-CN"/>
                <w14:textFill>
                  <w14:solidFill>
                    <w14:schemeClr w14:val="tx1"/>
                  </w14:solidFill>
                </w14:textFill>
              </w:rPr>
              <w:t>。</w:t>
            </w:r>
          </w:p>
        </w:tc>
        <w:tc>
          <w:tcPr>
            <w:tcW w:w="1566"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14:textFill>
                  <w14:solidFill>
                    <w14:schemeClr w14:val="tx1"/>
                  </w14:solidFill>
                </w14:textFill>
              </w:rPr>
              <w:t>严格落实了审批文件中要求的环境保护措施，</w:t>
            </w: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产生的废气污染物均达标排放。由于加油站运营时间不久，且油罐是三到五年清洗一次，则委托清洗油罐单位尚未确定。</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08" w:type="dxa"/>
            <w:vAlign w:val="center"/>
          </w:tcPr>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firstLineChars="0"/>
              <w:jc w:val="both"/>
              <w:textAlignment w:val="auto"/>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环境影响报告表经批准后，项目的性质、规模、工艺、地点或者防治污染、防止生态破坏的措施发生重大变动的，应当重新报批该项目的环境影响报告表。自项目环境影响报告表批复文件批准之日起，如超过五年方开工建设的，环境影响报告表应当报我局重新审核。</w:t>
            </w:r>
          </w:p>
        </w:tc>
        <w:tc>
          <w:tcPr>
            <w:tcW w:w="4855"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本项目的性质、规模、地点、生产工艺或者防治污染、防止生态破坏的措施均未发生重大变动的。</w:t>
            </w:r>
          </w:p>
        </w:tc>
        <w:tc>
          <w:tcPr>
            <w:tcW w:w="156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本项目未发生重大变更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08" w:type="dxa"/>
            <w:vAlign w:val="center"/>
          </w:tcPr>
          <w:p>
            <w:pPr>
              <w:pStyle w:val="47"/>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firstLineChars="0"/>
              <w:jc w:val="both"/>
              <w:textAlignment w:val="auto"/>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pacing w:val="0"/>
                <w:sz w:val="21"/>
                <w:szCs w:val="21"/>
                <w:highlight w:val="none"/>
                <w:lang w:val="en-US" w:eastAsia="zh-CN"/>
                <w14:textFill>
                  <w14:solidFill>
                    <w14:schemeClr w14:val="tx1"/>
                  </w14:solidFill>
                </w14:textFill>
              </w:rPr>
              <w:t>项目建设必须严格执行环境保护“三同时”制度，将环境保护措施落到实处。工程竣工后，经验收合格后，方可正式投入运营。</w:t>
            </w:r>
          </w:p>
        </w:tc>
        <w:tc>
          <w:tcPr>
            <w:tcW w:w="4855" w:type="dxa"/>
            <w:vAlign w:val="center"/>
          </w:tcPr>
          <w:p>
            <w:pPr>
              <w:pStyle w:val="52"/>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本项目建设严格执行了配套的各项环境保护设施、严格执行了环境保护“三同时”制度。施工招标文件和施工合同中明确了环保条款和责任。</w:t>
            </w:r>
          </w:p>
        </w:tc>
        <w:tc>
          <w:tcPr>
            <w:tcW w:w="1566" w:type="dxa"/>
            <w:vAlign w:val="center"/>
          </w:tcPr>
          <w:p>
            <w:pPr>
              <w:pStyle w:val="5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snapToGrid w:val="0"/>
                <w:color w:val="000000" w:themeColor="text1"/>
                <w:spacing w:val="0"/>
                <w:kern w:val="0"/>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pacing w:val="0"/>
                <w:kern w:val="0"/>
                <w:sz w:val="21"/>
                <w:szCs w:val="21"/>
                <w:highlight w:val="none"/>
                <w:lang w:eastAsia="zh-CN"/>
                <w14:textFill>
                  <w14:solidFill>
                    <w14:schemeClr w14:val="tx1"/>
                  </w14:solidFill>
                </w14:textFill>
              </w:rPr>
              <w:t>严格落实了环评批复的要求。</w:t>
            </w:r>
          </w:p>
        </w:tc>
      </w:tr>
    </w:tbl>
    <w:p>
      <w:pPr>
        <w:pStyle w:val="27"/>
        <w:rPr>
          <w:color w:val="000000" w:themeColor="text1"/>
          <w:highlight w:val="none"/>
          <w14:textFill>
            <w14:solidFill>
              <w14:schemeClr w14:val="tx1"/>
            </w14:solidFill>
          </w14:textFill>
        </w:rPr>
        <w:sectPr>
          <w:footerReference r:id="rId10" w:type="default"/>
          <w:pgSz w:w="16838" w:h="11906" w:orient="landscape"/>
          <w:pgMar w:top="1531" w:right="1440" w:bottom="1531"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rPr>
          <w:b/>
          <w:color w:val="000000" w:themeColor="text1"/>
          <w:sz w:val="28"/>
          <w:szCs w:val="28"/>
          <w:highlight w:val="none"/>
          <w14:textFill>
            <w14:solidFill>
              <w14:schemeClr w14:val="tx1"/>
            </w14:solidFill>
          </w14:textFill>
        </w:rPr>
      </w:pPr>
      <w:r>
        <w:rPr>
          <w:b/>
          <w:color w:val="000000" w:themeColor="text1"/>
          <w:sz w:val="28"/>
          <w:szCs w:val="28"/>
          <w:highlight w:val="none"/>
          <w14:textFill>
            <w14:solidFill>
              <w14:schemeClr w14:val="tx1"/>
            </w14:solidFill>
          </w14:textFill>
        </w:rPr>
        <w:t>表五</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trPr>
        <w:tc>
          <w:tcPr>
            <w:tcW w:w="8522"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验收监测质量保证及质量控制：</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确保本次检监测数据具有代表性、准确性和可靠性，严格按照国家相关技术规范及相关标准的有关规定执行。依据质控措施，对监测全过程包括采样、样品分析、数据处理等各个环节均进行了严格的质量控制。。本次监测分析人员均持证上岗，所用仪器、量器均经计量部门检定和分析人员校准，并在有效期内。监测所有原始数据、统计数据，均经三级审核后使用。</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为确保监测工作的质量，本次监测进行全过程的质控措施，质控结果见下表。</w:t>
            </w:r>
          </w:p>
          <w:p>
            <w:pPr>
              <w:spacing w:before="80" w:line="208" w:lineRule="auto"/>
              <w:jc w:val="center"/>
              <w:rPr>
                <w:rFonts w:hint="default" w:ascii="Times New Roman" w:hAnsi="Times New Roman" w:eastAsia="宋体" w:cs="Times New Roman"/>
                <w:b/>
                <w:bCs/>
                <w:sz w:val="24"/>
                <w:szCs w:val="24"/>
                <w:highlight w:val="none"/>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 xml:space="preserve">表5-1   </w:t>
            </w:r>
            <w:r>
              <w:rPr>
                <w:rFonts w:hint="default" w:ascii="Times New Roman" w:hAnsi="Times New Roman" w:eastAsia="宋体" w:cs="Times New Roman"/>
                <w:b/>
                <w:bCs/>
                <w:spacing w:val="-2"/>
                <w:sz w:val="24"/>
                <w:szCs w:val="24"/>
                <w:highlight w:val="none"/>
              </w:rPr>
              <w:t xml:space="preserve">  </w:t>
            </w:r>
            <w:r>
              <w:rPr>
                <w:rFonts w:hint="default" w:ascii="Times New Roman" w:hAnsi="Times New Roman" w:eastAsia="宋体" w:cs="Times New Roman"/>
                <w:b/>
                <w:bCs/>
                <w:spacing w:val="-2"/>
                <w:sz w:val="24"/>
                <w:szCs w:val="24"/>
                <w:highlight w:val="none"/>
                <w14:textOutline w14:w="5103" w14:cap="sq" w14:cmpd="sng">
                  <w14:solidFill>
                    <w14:srgbClr w14:val="000000"/>
                  </w14:solidFill>
                  <w14:prstDash w14:val="solid"/>
                  <w14:bevel/>
                </w14:textOutline>
              </w:rPr>
              <w:t>质控结果表</w:t>
            </w:r>
          </w:p>
          <w:tbl>
            <w:tblPr>
              <w:tblStyle w:val="66"/>
              <w:tblW w:w="4997"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628"/>
              <w:gridCol w:w="1284"/>
              <w:gridCol w:w="1212"/>
              <w:gridCol w:w="1681"/>
              <w:gridCol w:w="1251"/>
              <w:gridCol w:w="1458"/>
              <w:gridCol w:w="787"/>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序号</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检测项目</w:t>
                  </w:r>
                </w:p>
              </w:tc>
              <w:tc>
                <w:tcPr>
                  <w:tcW w:w="73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计量单位</w:t>
                  </w:r>
                </w:p>
              </w:tc>
              <w:tc>
                <w:tcPr>
                  <w:tcW w:w="101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质控样编号</w:t>
                  </w:r>
                </w:p>
              </w:tc>
              <w:tc>
                <w:tcPr>
                  <w:tcW w:w="75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测定结果</w:t>
                  </w:r>
                </w:p>
              </w:tc>
              <w:tc>
                <w:tcPr>
                  <w:tcW w:w="87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置信范围</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评价</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1</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砷</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μg/L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B22110078</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21.1</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19. 1±1.2</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氨氮</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mg/L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B22110191</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2.00</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2.06±0.10</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3</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耗氧量</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mg/L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B22050204</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6.24</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6.40±0.50</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4</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铁</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mg/L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230213C5</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0.51</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0.5±10%</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5</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硫酸盐</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mg/L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201938</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37.0</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36. 1±1.3</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6</w:t>
                  </w:r>
                </w:p>
              </w:tc>
              <w:tc>
                <w:tcPr>
                  <w:tcW w:w="77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六价铬</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mg/L</w:t>
                  </w:r>
                </w:p>
              </w:tc>
              <w:tc>
                <w:tcPr>
                  <w:tcW w:w="10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B22040318</w:t>
                  </w:r>
                </w:p>
              </w:tc>
              <w:tc>
                <w:tcPr>
                  <w:tcW w:w="7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0.210</w:t>
                  </w:r>
                </w:p>
              </w:tc>
              <w:tc>
                <w:tcPr>
                  <w:tcW w:w="87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0.208±0.010</w:t>
                  </w:r>
                </w:p>
              </w:tc>
              <w:tc>
                <w:tcPr>
                  <w:tcW w:w="47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sz w:val="21"/>
                      <w:szCs w:val="21"/>
                      <w:highlight w:val="none"/>
                    </w:rPr>
                  </w:pPr>
                  <w:r>
                    <w:rPr>
                      <w:rFonts w:hint="default" w:ascii="Times New Roman" w:hAnsi="Times New Roman" w:eastAsia="宋体" w:cs="Times New Roman"/>
                      <w:spacing w:val="0"/>
                      <w:sz w:val="21"/>
                      <w:szCs w:val="21"/>
                      <w:highlight w:val="none"/>
                    </w:rPr>
                    <w:t>合格</w:t>
                  </w:r>
                </w:p>
              </w:tc>
            </w:tr>
          </w:tbl>
          <w:p>
            <w:pPr>
              <w:spacing w:before="283" w:line="209" w:lineRule="auto"/>
              <w:jc w:val="center"/>
              <w:rPr>
                <w:rFonts w:hint="default" w:ascii="Times New Roman" w:hAnsi="Times New Roman" w:eastAsia="宋体" w:cs="Times New Roman"/>
                <w:b w:val="0"/>
                <w:bCs w:val="0"/>
                <w:sz w:val="24"/>
                <w:szCs w:val="24"/>
                <w:highlight w:val="none"/>
              </w:rPr>
            </w:pPr>
            <w:r>
              <w:rPr>
                <w:rFonts w:hint="default" w:ascii="Times New Roman" w:hAnsi="Times New Roman" w:eastAsia="宋体" w:cs="Times New Roman"/>
                <w:b/>
                <w:bCs/>
                <w:color w:val="000000" w:themeColor="text1"/>
                <w:sz w:val="24"/>
                <w:szCs w:val="24"/>
                <w:highlight w:val="none"/>
                <w:vertAlign w:val="baseline"/>
                <w:lang w:val="en-US" w:eastAsia="zh-CN"/>
                <w14:textFill>
                  <w14:solidFill>
                    <w14:schemeClr w14:val="tx1"/>
                  </w14:solidFill>
                </w14:textFill>
              </w:rPr>
              <w:t xml:space="preserve">表5-2      </w:t>
            </w:r>
            <w:r>
              <w:rPr>
                <w:rFonts w:hint="default" w:ascii="Times New Roman" w:hAnsi="Times New Roman" w:eastAsia="宋体" w:cs="Times New Roman"/>
                <w:b w:val="0"/>
                <w:bCs w:val="0"/>
                <w:spacing w:val="-1"/>
                <w:sz w:val="24"/>
                <w:szCs w:val="24"/>
                <w:highlight w:val="none"/>
                <w14:textOutline w14:w="5103" w14:cap="sq" w14:cmpd="sng">
                  <w14:solidFill>
                    <w14:srgbClr w14:val="000000"/>
                  </w14:solidFill>
                  <w14:prstDash w14:val="solid"/>
                  <w14:bevel/>
                </w14:textOutline>
              </w:rPr>
              <w:t>噪声监测质控结果表</w:t>
            </w:r>
          </w:p>
          <w:tbl>
            <w:tblPr>
              <w:tblStyle w:val="66"/>
              <w:tblW w:w="4998"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1524"/>
              <w:gridCol w:w="913"/>
              <w:gridCol w:w="895"/>
              <w:gridCol w:w="653"/>
              <w:gridCol w:w="1337"/>
              <w:gridCol w:w="206"/>
              <w:gridCol w:w="877"/>
              <w:gridCol w:w="1000"/>
              <w:gridCol w:w="898"/>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监测仪器型号</w:t>
                  </w:r>
                </w:p>
              </w:tc>
              <w:tc>
                <w:tcPr>
                  <w:tcW w:w="1482"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AWA6228+ 型多功能</w:t>
                  </w:r>
                </w:p>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声级计</w:t>
                  </w:r>
                </w:p>
              </w:tc>
              <w:tc>
                <w:tcPr>
                  <w:tcW w:w="929"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校准仪型号</w:t>
                  </w:r>
                </w:p>
              </w:tc>
              <w:tc>
                <w:tcPr>
                  <w:tcW w:w="1669"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AWA6221A 型声级计校准器</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检定有效期限</w:t>
                  </w:r>
                </w:p>
              </w:tc>
              <w:tc>
                <w:tcPr>
                  <w:tcW w:w="1482"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 年 6 月 6  日</w:t>
                  </w:r>
                </w:p>
              </w:tc>
              <w:tc>
                <w:tcPr>
                  <w:tcW w:w="929"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检定有效期限</w:t>
                  </w:r>
                </w:p>
              </w:tc>
              <w:tc>
                <w:tcPr>
                  <w:tcW w:w="1669"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 年 6 月 6  日</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结果评价依据</w:t>
                  </w:r>
                </w:p>
              </w:tc>
              <w:tc>
                <w:tcPr>
                  <w:tcW w:w="4081" w:type="pct"/>
                  <w:gridSpan w:val="8"/>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示值偏差不得大于 0.5 dB（A）</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测定日期</w:t>
                  </w:r>
                </w:p>
              </w:tc>
              <w:tc>
                <w:tcPr>
                  <w:tcW w:w="1482"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监测前(dB（A）)</w:t>
                  </w:r>
                </w:p>
              </w:tc>
              <w:tc>
                <w:tcPr>
                  <w:tcW w:w="2059"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监测后(dB（A）)</w:t>
                  </w:r>
                </w:p>
              </w:tc>
              <w:tc>
                <w:tcPr>
                  <w:tcW w:w="53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结果评价</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55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标准值</w:t>
                  </w:r>
                </w:p>
              </w:tc>
              <w:tc>
                <w:tcPr>
                  <w:tcW w:w="5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测定值</w:t>
                  </w:r>
                </w:p>
              </w:tc>
              <w:tc>
                <w:tcPr>
                  <w:tcW w:w="39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误差</w:t>
                  </w:r>
                </w:p>
              </w:tc>
              <w:tc>
                <w:tcPr>
                  <w:tcW w:w="80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标准值</w:t>
                  </w:r>
                </w:p>
              </w:tc>
              <w:tc>
                <w:tcPr>
                  <w:tcW w:w="652"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测定值</w:t>
                  </w:r>
                </w:p>
              </w:tc>
              <w:tc>
                <w:tcPr>
                  <w:tcW w:w="601"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误差</w:t>
                  </w:r>
                </w:p>
              </w:tc>
              <w:tc>
                <w:tcPr>
                  <w:tcW w:w="53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2024-3-6</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94.0</w:t>
                  </w:r>
                </w:p>
              </w:tc>
              <w:tc>
                <w:tcPr>
                  <w:tcW w:w="5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93.8</w:t>
                  </w:r>
                </w:p>
              </w:tc>
              <w:tc>
                <w:tcPr>
                  <w:tcW w:w="39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w:t>
                  </w:r>
                </w:p>
              </w:tc>
              <w:tc>
                <w:tcPr>
                  <w:tcW w:w="80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94.0</w:t>
                  </w:r>
                </w:p>
              </w:tc>
              <w:tc>
                <w:tcPr>
                  <w:tcW w:w="65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93.8</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w:t>
                  </w:r>
                </w:p>
              </w:tc>
              <w:tc>
                <w:tcPr>
                  <w:tcW w:w="5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合格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91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2024-3-7</w:t>
                  </w:r>
                </w:p>
              </w:tc>
              <w:tc>
                <w:tcPr>
                  <w:tcW w:w="5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94.0</w:t>
                  </w:r>
                </w:p>
              </w:tc>
              <w:tc>
                <w:tcPr>
                  <w:tcW w:w="53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93.8</w:t>
                  </w:r>
                </w:p>
              </w:tc>
              <w:tc>
                <w:tcPr>
                  <w:tcW w:w="39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w:t>
                  </w:r>
                </w:p>
              </w:tc>
              <w:tc>
                <w:tcPr>
                  <w:tcW w:w="80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94.0</w:t>
                  </w:r>
                </w:p>
              </w:tc>
              <w:tc>
                <w:tcPr>
                  <w:tcW w:w="65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93.8</w:t>
                  </w:r>
                </w:p>
              </w:tc>
              <w:tc>
                <w:tcPr>
                  <w:tcW w:w="6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w:t>
                  </w:r>
                </w:p>
              </w:tc>
              <w:tc>
                <w:tcPr>
                  <w:tcW w:w="5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合格</w:t>
                  </w:r>
                </w:p>
              </w:tc>
            </w:tr>
          </w:tbl>
          <w:p>
            <w:pPr>
              <w:pStyle w:val="21"/>
              <w:ind w:firstLine="0" w:firstLineChars="0"/>
              <w:rPr>
                <w:color w:val="000000" w:themeColor="text1"/>
                <w:highlight w:val="none"/>
                <w14:textFill>
                  <w14:solidFill>
                    <w14:schemeClr w14:val="tx1"/>
                  </w14:solidFill>
                </w14:textFill>
              </w:rPr>
            </w:pPr>
          </w:p>
          <w:p>
            <w:pPr>
              <w:pStyle w:val="21"/>
              <w:ind w:firstLine="0" w:firstLineChars="0"/>
              <w:rPr>
                <w:color w:val="000000" w:themeColor="text1"/>
                <w:highlight w:val="none"/>
                <w14:textFill>
                  <w14:solidFill>
                    <w14:schemeClr w14:val="tx1"/>
                  </w14:solidFill>
                </w14:textFill>
              </w:rPr>
            </w:pPr>
          </w:p>
          <w:p>
            <w:pPr>
              <w:pStyle w:val="21"/>
              <w:ind w:firstLine="0" w:firstLineChars="0"/>
              <w:rPr>
                <w:color w:val="000000" w:themeColor="text1"/>
                <w:highlight w:val="none"/>
                <w14:textFill>
                  <w14:solidFill>
                    <w14:schemeClr w14:val="tx1"/>
                  </w14:solidFill>
                </w14:textFill>
              </w:rPr>
            </w:pPr>
          </w:p>
          <w:p>
            <w:pPr>
              <w:pStyle w:val="21"/>
              <w:ind w:firstLine="0" w:firstLineChars="0"/>
              <w:jc w:val="center"/>
              <w:rPr>
                <w:color w:val="000000" w:themeColor="text1"/>
                <w:highlight w:val="none"/>
                <w14:textFill>
                  <w14:solidFill>
                    <w14:schemeClr w14:val="tx1"/>
                  </w14:solidFill>
                </w14:textFill>
              </w:rPr>
            </w:pPr>
          </w:p>
        </w:tc>
      </w:tr>
    </w:tbl>
    <w:p>
      <w:pPr>
        <w:rPr>
          <w:b/>
          <w:color w:val="000000" w:themeColor="text1"/>
          <w:sz w:val="28"/>
          <w:szCs w:val="28"/>
          <w:highlight w:val="none"/>
          <w14:textFill>
            <w14:solidFill>
              <w14:schemeClr w14:val="tx1"/>
            </w14:solidFill>
          </w14:textFill>
        </w:rPr>
      </w:pPr>
      <w:r>
        <w:rPr>
          <w:b/>
          <w:color w:val="000000" w:themeColor="text1"/>
          <w:sz w:val="28"/>
          <w:szCs w:val="28"/>
          <w:highlight w:val="none"/>
          <w14:textFill>
            <w14:solidFill>
              <w14:schemeClr w14:val="tx1"/>
            </w14:solidFill>
          </w14:textFill>
        </w:rPr>
        <w:t>表六</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5" w:hRule="atLeast"/>
        </w:trPr>
        <w:tc>
          <w:tcPr>
            <w:tcW w:w="8522" w:type="dxa"/>
          </w:tcPr>
          <w:p>
            <w:pPr>
              <w:adjustRightInd w:val="0"/>
              <w:snapToGrid w:val="0"/>
              <w:spacing w:line="360" w:lineRule="auto"/>
              <w:contextualSpacing/>
              <w:rPr>
                <w:rFonts w:hint="default" w:ascii="Times New Roman" w:hAnsi="Times New Roman" w:eastAsia="宋体" w:cs="Times New Roman"/>
                <w:b/>
                <w:bCs/>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bCs/>
                <w:snapToGrid w:val="0"/>
                <w:color w:val="000000" w:themeColor="text1"/>
                <w:kern w:val="0"/>
                <w:sz w:val="24"/>
                <w:szCs w:val="24"/>
                <w:highlight w:val="none"/>
                <w:lang w:val="en-US" w:eastAsia="zh-CN"/>
                <w14:textFill>
                  <w14:solidFill>
                    <w14:schemeClr w14:val="tx1"/>
                  </w14:solidFill>
                </w14:textFill>
              </w:rPr>
              <w:t>验收监测内容：</w:t>
            </w:r>
          </w:p>
          <w:p>
            <w:pPr>
              <w:adjustRightInd w:val="0"/>
              <w:snapToGrid w:val="0"/>
              <w:spacing w:line="360" w:lineRule="auto"/>
              <w:contextualSpacing/>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t>6.1废气监测</w:t>
            </w:r>
          </w:p>
          <w:p>
            <w:pPr>
              <w:adjustRightInd w:val="0"/>
              <w:snapToGrid w:val="0"/>
              <w:spacing w:line="360" w:lineRule="auto"/>
              <w:contextualSpacing/>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t>6.1.1无组织废气检测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监测点位、监测时间及频次见下表6-1</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、6-2，</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监测依据见表6-</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w:t>
            </w:r>
          </w:p>
          <w:p>
            <w:pPr>
              <w:spacing w:before="145" w:line="360" w:lineRule="auto"/>
              <w:ind w:left="2587"/>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b/>
                <w:bCs/>
                <w:spacing w:val="0"/>
                <w:sz w:val="24"/>
                <w:szCs w:val="24"/>
                <w:highlight w:val="none"/>
                <w:lang w:val="en-US" w:eastAsia="zh-CN"/>
              </w:rPr>
              <w:t>6</w:t>
            </w:r>
            <w:r>
              <w:rPr>
                <w:rFonts w:hint="default" w:ascii="Times New Roman" w:hAnsi="Times New Roman" w:eastAsia="宋体" w:cs="Times New Roman"/>
                <w:b/>
                <w:bCs/>
                <w:spacing w:val="0"/>
                <w:sz w:val="24"/>
                <w:szCs w:val="24"/>
                <w:highlight w:val="none"/>
              </w:rPr>
              <w:t xml:space="preserve">-1    </w:t>
            </w:r>
            <w:r>
              <w:rPr>
                <w:rFonts w:hint="default" w:ascii="Times New Roman" w:hAnsi="Times New Roman" w:eastAsia="宋体" w:cs="Times New Roman"/>
                <w:b/>
                <w:bCs/>
                <w:spacing w:val="0"/>
                <w:sz w:val="24"/>
                <w:szCs w:val="24"/>
                <w:highlight w:val="none"/>
                <w14:textOutline w14:w="5103" w14:cap="sq" w14:cmpd="sng">
                  <w14:solidFill>
                    <w14:srgbClr w14:val="000000"/>
                  </w14:solidFill>
                  <w14:prstDash w14:val="solid"/>
                  <w14:bevel/>
                </w14:textOutline>
              </w:rPr>
              <w:t>无组织废气监测点位及频次</w:t>
            </w:r>
          </w:p>
          <w:tbl>
            <w:tblPr>
              <w:tblStyle w:val="66"/>
              <w:tblW w:w="4986"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66"/>
              <w:gridCol w:w="800"/>
              <w:gridCol w:w="2753"/>
              <w:gridCol w:w="2032"/>
              <w:gridCol w:w="1932"/>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w:t>
                  </w:r>
                </w:p>
              </w:tc>
              <w:tc>
                <w:tcPr>
                  <w:tcW w:w="2144"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点位名称</w:t>
                  </w:r>
                </w:p>
              </w:tc>
              <w:tc>
                <w:tcPr>
                  <w:tcW w:w="122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监测项目</w:t>
                  </w:r>
                </w:p>
              </w:tc>
              <w:tc>
                <w:tcPr>
                  <w:tcW w:w="116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监测频次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1#</w:t>
                  </w:r>
                </w:p>
              </w:tc>
              <w:tc>
                <w:tcPr>
                  <w:tcW w:w="483"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lang w:val="en-US" w:eastAsia="zh-CN"/>
                    </w:rPr>
                  </w:pPr>
                  <w:r>
                    <w:rPr>
                      <w:rFonts w:hint="eastAsia" w:ascii="Times New Roman" w:hAnsi="Times New Roman" w:cs="Times New Roman"/>
                      <w:b w:val="0"/>
                      <w:bCs w:val="0"/>
                      <w:spacing w:val="0"/>
                      <w:position w:val="0"/>
                      <w:sz w:val="21"/>
                      <w:szCs w:val="21"/>
                      <w:highlight w:val="none"/>
                      <w:lang w:val="en-US" w:eastAsia="zh-CN"/>
                    </w:rPr>
                    <w:t>A站</w:t>
                  </w: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厂址（上风向）东南侧 10m 处</w:t>
                  </w:r>
                </w:p>
              </w:tc>
              <w:tc>
                <w:tcPr>
                  <w:tcW w:w="1226"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非甲烷总烃</w:t>
                  </w:r>
                </w:p>
              </w:tc>
              <w:tc>
                <w:tcPr>
                  <w:tcW w:w="1166"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lang w:val="en-US" w:eastAsia="zh-CN"/>
                    </w:rPr>
                  </w:pPr>
                  <w:r>
                    <w:rPr>
                      <w:rFonts w:hint="default" w:ascii="Times New Roman" w:hAnsi="Times New Roman" w:eastAsia="宋体" w:cs="Times New Roman"/>
                      <w:b w:val="0"/>
                      <w:bCs w:val="0"/>
                      <w:spacing w:val="0"/>
                      <w:position w:val="0"/>
                      <w:sz w:val="21"/>
                      <w:szCs w:val="21"/>
                      <w:highlight w:val="none"/>
                    </w:rPr>
                    <w:t>监测</w:t>
                  </w:r>
                  <w:r>
                    <w:rPr>
                      <w:rFonts w:hint="default" w:ascii="Times New Roman" w:hAnsi="Times New Roman" w:eastAsia="宋体" w:cs="Times New Roman"/>
                      <w:b w:val="0"/>
                      <w:bCs w:val="0"/>
                      <w:spacing w:val="0"/>
                      <w:position w:val="0"/>
                      <w:sz w:val="21"/>
                      <w:szCs w:val="21"/>
                      <w:highlight w:val="none"/>
                      <w:lang w:val="en-US" w:eastAsia="zh-CN"/>
                    </w:rPr>
                    <w:t>2</w:t>
                  </w:r>
                  <w:r>
                    <w:rPr>
                      <w:rFonts w:hint="default" w:ascii="Times New Roman" w:hAnsi="Times New Roman" w:eastAsia="宋体" w:cs="Times New Roman"/>
                      <w:b w:val="0"/>
                      <w:bCs w:val="0"/>
                      <w:spacing w:val="0"/>
                      <w:position w:val="0"/>
                      <w:sz w:val="21"/>
                      <w:szCs w:val="21"/>
                      <w:highlight w:val="none"/>
                    </w:rPr>
                    <w:t>天，每</w:t>
                  </w:r>
                  <w:r>
                    <w:rPr>
                      <w:rFonts w:hint="default" w:ascii="Times New Roman" w:hAnsi="Times New Roman" w:eastAsia="宋体" w:cs="Times New Roman"/>
                      <w:b w:val="0"/>
                      <w:bCs w:val="0"/>
                      <w:spacing w:val="0"/>
                      <w:position w:val="0"/>
                      <w:sz w:val="21"/>
                      <w:szCs w:val="21"/>
                      <w:highlight w:val="none"/>
                      <w:lang w:val="en-US" w:eastAsia="zh-CN"/>
                    </w:rPr>
                    <w:t>天4次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2#</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厂址（下风向）西侧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3#</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厂址（下风向）西北侧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4#</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厂址（下风向）北侧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5#</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油气回收系统排气筒</w:t>
                  </w:r>
                </w:p>
              </w:tc>
              <w:tc>
                <w:tcPr>
                  <w:tcW w:w="122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bl>
          <w:p>
            <w:pPr>
              <w:spacing w:before="145" w:line="360" w:lineRule="auto"/>
              <w:ind w:left="2587"/>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sz w:val="24"/>
                <w:szCs w:val="24"/>
                <w:highlight w:val="none"/>
                <w14:textOutline w14:w="5103" w14:cap="sq" w14:cmpd="sng">
                  <w14:solidFill>
                    <w14:srgbClr w14:val="000000"/>
                  </w14:solidFill>
                  <w14:prstDash w14:val="solid"/>
                  <w14:bevel/>
                </w14:textOutline>
              </w:rPr>
              <w:t>表</w:t>
            </w:r>
            <w:r>
              <w:rPr>
                <w:rFonts w:hint="eastAsia" w:ascii="Times New Roman" w:hAnsi="Times New Roman" w:eastAsia="宋体" w:cs="Times New Roman"/>
                <w:b/>
                <w:bCs/>
                <w:spacing w:val="0"/>
                <w:sz w:val="24"/>
                <w:szCs w:val="24"/>
                <w:highlight w:val="none"/>
                <w:lang w:val="en-US" w:eastAsia="zh-CN"/>
              </w:rPr>
              <w:t>6-2</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b/>
                <w:bCs/>
                <w:spacing w:val="0"/>
                <w:sz w:val="24"/>
                <w:szCs w:val="24"/>
                <w:highlight w:val="none"/>
                <w14:textOutline w14:w="5103" w14:cap="sq" w14:cmpd="sng">
                  <w14:solidFill>
                    <w14:srgbClr w14:val="000000"/>
                  </w14:solidFill>
                  <w14:prstDash w14:val="solid"/>
                  <w14:bevel/>
                </w14:textOutline>
              </w:rPr>
              <w:t>无组织废气监测点位及频次</w:t>
            </w:r>
          </w:p>
          <w:tbl>
            <w:tblPr>
              <w:tblStyle w:val="66"/>
              <w:tblW w:w="4986"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66"/>
              <w:gridCol w:w="800"/>
              <w:gridCol w:w="2753"/>
              <w:gridCol w:w="2032"/>
              <w:gridCol w:w="1932"/>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w:t>
                  </w:r>
                </w:p>
              </w:tc>
              <w:tc>
                <w:tcPr>
                  <w:tcW w:w="2144"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点位名称</w:t>
                  </w:r>
                </w:p>
              </w:tc>
              <w:tc>
                <w:tcPr>
                  <w:tcW w:w="122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监测项目</w:t>
                  </w:r>
                </w:p>
              </w:tc>
              <w:tc>
                <w:tcPr>
                  <w:tcW w:w="116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监测频次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1#</w:t>
                  </w:r>
                </w:p>
              </w:tc>
              <w:tc>
                <w:tcPr>
                  <w:tcW w:w="483"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lang w:val="en-US" w:eastAsia="zh-CN"/>
                    </w:rPr>
                  </w:pPr>
                  <w:r>
                    <w:rPr>
                      <w:rFonts w:hint="eastAsia" w:ascii="Times New Roman" w:hAnsi="Times New Roman" w:cs="Times New Roman"/>
                      <w:b w:val="0"/>
                      <w:bCs w:val="0"/>
                      <w:spacing w:val="0"/>
                      <w:position w:val="0"/>
                      <w:sz w:val="21"/>
                      <w:szCs w:val="21"/>
                      <w:highlight w:val="none"/>
                      <w:lang w:val="en-US" w:eastAsia="zh-CN"/>
                    </w:rPr>
                    <w:t>B站</w:t>
                  </w: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厂址（上风向）东南侧 10m 处</w:t>
                  </w:r>
                </w:p>
              </w:tc>
              <w:tc>
                <w:tcPr>
                  <w:tcW w:w="1226"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非甲烷总烃</w:t>
                  </w:r>
                </w:p>
              </w:tc>
              <w:tc>
                <w:tcPr>
                  <w:tcW w:w="1166"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lang w:val="en-US" w:eastAsia="zh-CN"/>
                    </w:rPr>
                  </w:pPr>
                  <w:r>
                    <w:rPr>
                      <w:rFonts w:hint="default" w:ascii="Times New Roman" w:hAnsi="Times New Roman" w:eastAsia="宋体" w:cs="Times New Roman"/>
                      <w:b w:val="0"/>
                      <w:bCs w:val="0"/>
                      <w:spacing w:val="0"/>
                      <w:position w:val="0"/>
                      <w:sz w:val="21"/>
                      <w:szCs w:val="21"/>
                      <w:highlight w:val="none"/>
                    </w:rPr>
                    <w:t>监测</w:t>
                  </w:r>
                  <w:r>
                    <w:rPr>
                      <w:rFonts w:hint="default" w:ascii="Times New Roman" w:hAnsi="Times New Roman" w:eastAsia="宋体" w:cs="Times New Roman"/>
                      <w:b w:val="0"/>
                      <w:bCs w:val="0"/>
                      <w:spacing w:val="0"/>
                      <w:position w:val="0"/>
                      <w:sz w:val="21"/>
                      <w:szCs w:val="21"/>
                      <w:highlight w:val="none"/>
                      <w:lang w:val="en-US" w:eastAsia="zh-CN"/>
                    </w:rPr>
                    <w:t>2</w:t>
                  </w:r>
                  <w:r>
                    <w:rPr>
                      <w:rFonts w:hint="default" w:ascii="Times New Roman" w:hAnsi="Times New Roman" w:eastAsia="宋体" w:cs="Times New Roman"/>
                      <w:b w:val="0"/>
                      <w:bCs w:val="0"/>
                      <w:spacing w:val="0"/>
                      <w:position w:val="0"/>
                      <w:sz w:val="21"/>
                      <w:szCs w:val="21"/>
                      <w:highlight w:val="none"/>
                    </w:rPr>
                    <w:t>天，每</w:t>
                  </w:r>
                  <w:r>
                    <w:rPr>
                      <w:rFonts w:hint="default" w:ascii="Times New Roman" w:hAnsi="Times New Roman" w:eastAsia="宋体" w:cs="Times New Roman"/>
                      <w:b w:val="0"/>
                      <w:bCs w:val="0"/>
                      <w:spacing w:val="0"/>
                      <w:position w:val="0"/>
                      <w:sz w:val="21"/>
                      <w:szCs w:val="21"/>
                      <w:highlight w:val="none"/>
                      <w:lang w:val="en-US" w:eastAsia="zh-CN"/>
                    </w:rPr>
                    <w:t>天4次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2#</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厂址（下风向）西侧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3#</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厂址（下风向）西北侧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4#</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厂址（下风向）北侧 10m 处</w:t>
                  </w:r>
                </w:p>
              </w:tc>
              <w:tc>
                <w:tcPr>
                  <w:tcW w:w="122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6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5#</w:t>
                  </w:r>
                </w:p>
              </w:tc>
              <w:tc>
                <w:tcPr>
                  <w:tcW w:w="48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p>
              </w:tc>
              <w:tc>
                <w:tcPr>
                  <w:tcW w:w="166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rPr>
                    <w:t>油气回收系统排气筒</w:t>
                  </w:r>
                </w:p>
              </w:tc>
              <w:tc>
                <w:tcPr>
                  <w:tcW w:w="122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c>
                <w:tcPr>
                  <w:tcW w:w="116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default" w:ascii="Times New Roman" w:hAnsi="Times New Roman" w:eastAsia="宋体" w:cs="Times New Roman"/>
                      <w:b w:val="0"/>
                      <w:bCs w:val="0"/>
                      <w:spacing w:val="0"/>
                      <w:position w:val="0"/>
                      <w:sz w:val="21"/>
                      <w:szCs w:val="21"/>
                      <w:highlight w:val="none"/>
                    </w:rPr>
                  </w:pPr>
                </w:p>
              </w:tc>
            </w:tr>
          </w:tbl>
          <w:p>
            <w:pPr>
              <w:spacing w:before="291" w:line="360" w:lineRule="auto"/>
              <w:ind w:left="2851"/>
              <w:rPr>
                <w:rFonts w:hint="default" w:ascii="Times New Roman" w:hAnsi="Times New Roman" w:eastAsia="宋体" w:cs="Times New Roman"/>
                <w:sz w:val="24"/>
                <w:szCs w:val="24"/>
                <w:highlight w:val="none"/>
              </w:rPr>
            </w:pP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52"/>
                <w:sz w:val="24"/>
                <w:szCs w:val="24"/>
                <w:highlight w:val="none"/>
              </w:rPr>
              <w:t xml:space="preserve"> </w:t>
            </w:r>
            <w:r>
              <w:rPr>
                <w:rFonts w:hint="default" w:ascii="Times New Roman" w:hAnsi="Times New Roman" w:eastAsia="宋体" w:cs="Times New Roman"/>
                <w:b/>
                <w:bCs/>
                <w:spacing w:val="-1"/>
                <w:sz w:val="24"/>
                <w:szCs w:val="24"/>
                <w:highlight w:val="none"/>
                <w:lang w:val="en-US" w:eastAsia="zh-CN"/>
              </w:rPr>
              <w:t>6-</w:t>
            </w:r>
            <w:r>
              <w:rPr>
                <w:rFonts w:hint="eastAsia" w:ascii="Times New Roman" w:hAnsi="Times New Roman" w:eastAsia="宋体" w:cs="Times New Roman"/>
                <w:b/>
                <w:bCs/>
                <w:spacing w:val="-1"/>
                <w:sz w:val="24"/>
                <w:szCs w:val="24"/>
                <w:highlight w:val="none"/>
                <w:lang w:val="en-US" w:eastAsia="zh-CN"/>
              </w:rPr>
              <w:t>3</w:t>
            </w:r>
            <w:r>
              <w:rPr>
                <w:rFonts w:hint="default" w:ascii="Times New Roman" w:hAnsi="Times New Roman" w:eastAsia="宋体" w:cs="Times New Roman"/>
                <w:b/>
                <w:bCs/>
                <w:spacing w:val="-1"/>
                <w:sz w:val="24"/>
                <w:szCs w:val="24"/>
                <w:highlight w:val="none"/>
                <w:lang w:val="en-US" w:eastAsia="zh-CN"/>
              </w:rPr>
              <w:t xml:space="preserve">   </w:t>
            </w:r>
            <w:r>
              <w:rPr>
                <w:rFonts w:hint="default" w:ascii="Times New Roman" w:hAnsi="Times New Roman" w:eastAsia="宋体" w:cs="Times New Roman"/>
                <w:b/>
                <w:bCs/>
                <w:spacing w:val="-1"/>
                <w:sz w:val="24"/>
                <w:szCs w:val="24"/>
                <w:highlight w:val="none"/>
              </w:rPr>
              <w:t xml:space="preserve"> </w:t>
            </w: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无组织废气监测项目依据</w:t>
            </w:r>
          </w:p>
          <w:tbl>
            <w:tblPr>
              <w:tblStyle w:val="66"/>
              <w:tblW w:w="4998" w:type="pct"/>
              <w:tblInd w:w="2" w:type="dxa"/>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84"/>
              <w:gridCol w:w="2269"/>
              <w:gridCol w:w="1935"/>
              <w:gridCol w:w="1959"/>
              <w:gridCol w:w="1456"/>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1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序号</w:t>
                  </w:r>
                </w:p>
              </w:tc>
              <w:tc>
                <w:tcPr>
                  <w:tcW w:w="136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项目</w:t>
                  </w:r>
                </w:p>
              </w:tc>
              <w:tc>
                <w:tcPr>
                  <w:tcW w:w="116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分析方法</w:t>
                  </w:r>
                </w:p>
              </w:tc>
              <w:tc>
                <w:tcPr>
                  <w:tcW w:w="117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方法来源</w:t>
                  </w:r>
                </w:p>
              </w:tc>
              <w:tc>
                <w:tcPr>
                  <w:tcW w:w="87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方法检出限</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1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tc>
              <w:tc>
                <w:tcPr>
                  <w:tcW w:w="136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非甲烷总烃</w:t>
                  </w:r>
                </w:p>
              </w:tc>
              <w:tc>
                <w:tcPr>
                  <w:tcW w:w="116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气相色谱法</w:t>
                  </w:r>
                </w:p>
              </w:tc>
              <w:tc>
                <w:tcPr>
                  <w:tcW w:w="11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HJ604-2017</w:t>
                  </w:r>
                </w:p>
              </w:tc>
              <w:tc>
                <w:tcPr>
                  <w:tcW w:w="87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0.07mg/m</w:t>
                  </w:r>
                  <w:r>
                    <w:rPr>
                      <w:rFonts w:hint="default" w:ascii="Times New Roman" w:hAnsi="Times New Roman" w:eastAsia="宋体" w:cs="Times New Roman"/>
                      <w:spacing w:val="0"/>
                      <w:position w:val="0"/>
                      <w:sz w:val="21"/>
                      <w:szCs w:val="21"/>
                      <w:highlight w:val="none"/>
                      <w:vertAlign w:val="superscript"/>
                    </w:rPr>
                    <w:t>3</w:t>
                  </w:r>
                </w:p>
              </w:tc>
            </w:tr>
          </w:tbl>
          <w:p>
            <w:pPr>
              <w:adjustRightInd w:val="0"/>
              <w:snapToGrid w:val="0"/>
              <w:spacing w:line="360" w:lineRule="auto"/>
              <w:contextualSpacing/>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t>6.1.2地下水检测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地下水监测点位及频次见表6-</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4、6-5</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，监测依据见表6-</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6</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w:t>
            </w:r>
          </w:p>
          <w:p>
            <w:pPr>
              <w:spacing w:before="192" w:line="360" w:lineRule="auto"/>
              <w:ind w:left="2938"/>
              <w:rPr>
                <w:rFonts w:hint="default" w:ascii="Times New Roman" w:hAnsi="Times New Roman" w:eastAsia="宋体" w:cs="Times New Roman"/>
                <w:sz w:val="24"/>
                <w:szCs w:val="24"/>
                <w:highlight w:val="none"/>
              </w:rPr>
            </w:pP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56"/>
                <w:sz w:val="24"/>
                <w:szCs w:val="24"/>
                <w:highlight w:val="none"/>
              </w:rPr>
              <w:t xml:space="preserve"> </w:t>
            </w:r>
            <w:r>
              <w:rPr>
                <w:rFonts w:hint="default" w:ascii="Times New Roman" w:hAnsi="Times New Roman" w:eastAsia="宋体" w:cs="Times New Roman"/>
                <w:b/>
                <w:bCs/>
                <w:spacing w:val="-1"/>
                <w:sz w:val="24"/>
                <w:szCs w:val="24"/>
                <w:highlight w:val="none"/>
                <w:lang w:val="en-US" w:eastAsia="zh-CN"/>
              </w:rPr>
              <w:t>6-</w:t>
            </w:r>
            <w:r>
              <w:rPr>
                <w:rFonts w:hint="eastAsia" w:ascii="Times New Roman" w:hAnsi="Times New Roman" w:eastAsia="宋体" w:cs="Times New Roman"/>
                <w:b/>
                <w:bCs/>
                <w:spacing w:val="-1"/>
                <w:sz w:val="24"/>
                <w:szCs w:val="24"/>
                <w:highlight w:val="none"/>
                <w:lang w:val="en-US" w:eastAsia="zh-CN"/>
              </w:rPr>
              <w:t>4</w:t>
            </w:r>
            <w:r>
              <w:rPr>
                <w:rFonts w:hint="default" w:ascii="Times New Roman" w:hAnsi="Times New Roman" w:eastAsia="宋体" w:cs="Times New Roman"/>
                <w:b/>
                <w:bCs/>
                <w:spacing w:val="-1"/>
                <w:sz w:val="24"/>
                <w:szCs w:val="24"/>
                <w:highlight w:val="none"/>
                <w:lang w:val="en-US" w:eastAsia="zh-CN"/>
              </w:rPr>
              <w:t xml:space="preserve">   </w:t>
            </w:r>
            <w:r>
              <w:rPr>
                <w:rFonts w:hint="default" w:ascii="Times New Roman" w:hAnsi="Times New Roman" w:eastAsia="宋体" w:cs="Times New Roman"/>
                <w:b/>
                <w:bCs/>
                <w:spacing w:val="-1"/>
                <w:sz w:val="24"/>
                <w:szCs w:val="24"/>
                <w:highlight w:val="none"/>
              </w:rPr>
              <w:t xml:space="preserve"> </w:t>
            </w: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地下水监测点位及频次</w:t>
            </w:r>
          </w:p>
          <w:tbl>
            <w:tblPr>
              <w:tblStyle w:val="66"/>
              <w:tblW w:w="4996"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04"/>
              <w:gridCol w:w="709"/>
              <w:gridCol w:w="709"/>
              <w:gridCol w:w="4970"/>
              <w:gridCol w:w="1207"/>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24"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w:t>
                  </w:r>
                </w:p>
              </w:tc>
              <w:tc>
                <w:tcPr>
                  <w:tcW w:w="854" w:type="pct"/>
                  <w:gridSpan w:val="2"/>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点位名称</w:t>
                  </w:r>
                </w:p>
              </w:tc>
              <w:tc>
                <w:tcPr>
                  <w:tcW w:w="2993"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监测项目</w:t>
                  </w:r>
                </w:p>
              </w:tc>
              <w:tc>
                <w:tcPr>
                  <w:tcW w:w="727"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监测频次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0"/>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tc>
              <w:tc>
                <w:tcPr>
                  <w:tcW w:w="4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A站</w:t>
                  </w:r>
                </w:p>
              </w:tc>
              <w:tc>
                <w:tcPr>
                  <w:tcW w:w="4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厂区内监控井</w:t>
                  </w:r>
                </w:p>
              </w:tc>
              <w:tc>
                <w:tcPr>
                  <w:tcW w:w="299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pH、氨氮、硝酸盐氮、亚硝酸盐氮、挥发性酚类、氰化物、汞、砷、六价铬、总硬度、铅、镉、铁、锰、氟化物、溶解性总固体、高锰酸盐指数、硫酸盐、氯化物、总大肠菌群、细菌总数、石油类、苯、甲苯</w:t>
                  </w:r>
                </w:p>
              </w:tc>
              <w:tc>
                <w:tcPr>
                  <w:tcW w:w="7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监测2天每天1次</w:t>
                  </w:r>
                </w:p>
              </w:tc>
            </w:tr>
          </w:tbl>
          <w:p>
            <w:pPr>
              <w:spacing w:before="192" w:line="360" w:lineRule="auto"/>
              <w:ind w:left="2938"/>
              <w:rPr>
                <w:rFonts w:hint="default" w:ascii="Times New Roman" w:hAnsi="Times New Roman" w:eastAsia="宋体" w:cs="Times New Roman"/>
                <w:sz w:val="24"/>
                <w:szCs w:val="24"/>
                <w:highlight w:val="none"/>
              </w:rPr>
            </w:pP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56"/>
                <w:sz w:val="24"/>
                <w:szCs w:val="24"/>
                <w:highlight w:val="none"/>
              </w:rPr>
              <w:t xml:space="preserve"> </w:t>
            </w:r>
            <w:r>
              <w:rPr>
                <w:rFonts w:hint="default" w:ascii="Times New Roman" w:hAnsi="Times New Roman" w:eastAsia="宋体" w:cs="Times New Roman"/>
                <w:b/>
                <w:bCs/>
                <w:spacing w:val="-1"/>
                <w:sz w:val="24"/>
                <w:szCs w:val="24"/>
                <w:highlight w:val="none"/>
                <w:lang w:val="en-US" w:eastAsia="zh-CN"/>
              </w:rPr>
              <w:t>6-</w:t>
            </w:r>
            <w:r>
              <w:rPr>
                <w:rFonts w:hint="eastAsia" w:ascii="Times New Roman" w:hAnsi="Times New Roman" w:eastAsia="宋体" w:cs="Times New Roman"/>
                <w:b/>
                <w:bCs/>
                <w:spacing w:val="-1"/>
                <w:sz w:val="24"/>
                <w:szCs w:val="24"/>
                <w:highlight w:val="none"/>
                <w:lang w:val="en-US" w:eastAsia="zh-CN"/>
              </w:rPr>
              <w:t>5</w:t>
            </w:r>
            <w:r>
              <w:rPr>
                <w:rFonts w:hint="default" w:ascii="Times New Roman" w:hAnsi="Times New Roman" w:eastAsia="宋体" w:cs="Times New Roman"/>
                <w:b/>
                <w:bCs/>
                <w:spacing w:val="-1"/>
                <w:sz w:val="24"/>
                <w:szCs w:val="24"/>
                <w:highlight w:val="none"/>
                <w:lang w:val="en-US" w:eastAsia="zh-CN"/>
              </w:rPr>
              <w:t xml:space="preserve">   </w:t>
            </w:r>
            <w:r>
              <w:rPr>
                <w:rFonts w:hint="default" w:ascii="Times New Roman" w:hAnsi="Times New Roman" w:eastAsia="宋体" w:cs="Times New Roman"/>
                <w:b/>
                <w:bCs/>
                <w:spacing w:val="-1"/>
                <w:sz w:val="24"/>
                <w:szCs w:val="24"/>
                <w:highlight w:val="none"/>
              </w:rPr>
              <w:t xml:space="preserve"> </w:t>
            </w:r>
            <w:r>
              <w:rPr>
                <w:rFonts w:hint="default" w:ascii="Times New Roman" w:hAnsi="Times New Roman" w:eastAsia="宋体" w:cs="Times New Roman"/>
                <w:spacing w:val="-1"/>
                <w:sz w:val="24"/>
                <w:szCs w:val="24"/>
                <w:highlight w:val="none"/>
                <w14:textOutline w14:w="5103" w14:cap="sq" w14:cmpd="sng">
                  <w14:solidFill>
                    <w14:srgbClr w14:val="000000"/>
                  </w14:solidFill>
                  <w14:prstDash w14:val="solid"/>
                  <w14:bevel/>
                </w14:textOutline>
              </w:rPr>
              <w:t>地下水监测点位及频次</w:t>
            </w:r>
          </w:p>
          <w:tbl>
            <w:tblPr>
              <w:tblStyle w:val="66"/>
              <w:tblW w:w="4996"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04"/>
              <w:gridCol w:w="709"/>
              <w:gridCol w:w="709"/>
              <w:gridCol w:w="4970"/>
              <w:gridCol w:w="1207"/>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24"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w:t>
                  </w:r>
                </w:p>
              </w:tc>
              <w:tc>
                <w:tcPr>
                  <w:tcW w:w="854" w:type="pct"/>
                  <w:gridSpan w:val="2"/>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点位名称</w:t>
                  </w:r>
                </w:p>
              </w:tc>
              <w:tc>
                <w:tcPr>
                  <w:tcW w:w="2993"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监测项目</w:t>
                  </w:r>
                </w:p>
              </w:tc>
              <w:tc>
                <w:tcPr>
                  <w:tcW w:w="727"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val="0"/>
                      <w:spacing w:val="0"/>
                      <w:position w:val="0"/>
                      <w:sz w:val="21"/>
                      <w:szCs w:val="21"/>
                      <w:highlight w:val="none"/>
                    </w:rPr>
                  </w:pPr>
                  <w:r>
                    <w:rPr>
                      <w:rFonts w:hint="default" w:ascii="Times New Roman" w:hAnsi="Times New Roman" w:eastAsia="宋体" w:cs="Times New Roman"/>
                      <w:b w:val="0"/>
                      <w:bCs w:val="0"/>
                      <w:spacing w:val="0"/>
                      <w:position w:val="0"/>
                      <w:sz w:val="21"/>
                      <w:szCs w:val="21"/>
                      <w:highlight w:val="none"/>
                      <w14:textOutline w14:w="4358" w14:cap="sq" w14:cmpd="sng">
                        <w14:solidFill>
                          <w14:srgbClr w14:val="000000"/>
                        </w14:solidFill>
                        <w14:prstDash w14:val="solid"/>
                        <w14:bevel/>
                      </w14:textOutline>
                    </w:rPr>
                    <w:t>监测频次</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4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0"/>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tc>
              <w:tc>
                <w:tcPr>
                  <w:tcW w:w="4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B站</w:t>
                  </w:r>
                </w:p>
              </w:tc>
              <w:tc>
                <w:tcPr>
                  <w:tcW w:w="4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厂区内监控井</w:t>
                  </w:r>
                </w:p>
              </w:tc>
              <w:tc>
                <w:tcPr>
                  <w:tcW w:w="299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pH、氨氮、硝酸盐氮、亚硝酸盐氮、挥发性酚类、氰化物、汞、砷、六价铬、总硬度、铅、镉、铁、锰、氟化物、溶解性总固体、高锰酸盐指数、硫酸盐、氯化物、总大肠菌群、细菌总数、石油类、苯、甲苯</w:t>
                  </w:r>
                </w:p>
              </w:tc>
              <w:tc>
                <w:tcPr>
                  <w:tcW w:w="7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监测2天每天1次</w:t>
                  </w:r>
                </w:p>
              </w:tc>
            </w:tr>
          </w:tbl>
          <w:p>
            <w:pPr>
              <w:spacing w:before="174" w:line="360" w:lineRule="auto"/>
              <w:ind w:left="2570"/>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0"/>
                <w:sz w:val="24"/>
                <w:szCs w:val="24"/>
                <w:highlight w:val="none"/>
                <w:lang w:val="en-US" w:eastAsia="zh-CN"/>
              </w:rPr>
              <w:t>6-</w:t>
            </w:r>
            <w:r>
              <w:rPr>
                <w:rFonts w:hint="eastAsia" w:ascii="Times New Roman" w:hAnsi="Times New Roman" w:eastAsia="宋体" w:cs="Times New Roman"/>
                <w:spacing w:val="0"/>
                <w:sz w:val="24"/>
                <w:szCs w:val="24"/>
                <w:highlight w:val="none"/>
                <w:lang w:val="en-US" w:eastAsia="zh-CN"/>
              </w:rPr>
              <w:t>6</w:t>
            </w:r>
            <w:r>
              <w:rPr>
                <w:rFonts w:hint="default"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地下水监测项目分析方法依据</w:t>
            </w:r>
          </w:p>
          <w:tbl>
            <w:tblPr>
              <w:tblStyle w:val="66"/>
              <w:tblW w:w="4987"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28"/>
              <w:gridCol w:w="1417"/>
              <w:gridCol w:w="2335"/>
              <w:gridCol w:w="2663"/>
              <w:gridCol w:w="1241"/>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14:textOutline w14:w="4358" w14:cap="sq" w14:cmpd="sng">
                        <w14:solidFill>
                          <w14:srgbClr w14:val="000000"/>
                        </w14:solidFill>
                        <w14:prstDash w14:val="solid"/>
                        <w14:bevel/>
                      </w14:textOutline>
                    </w:rPr>
                    <w:t>序号</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14:textOutline w14:w="4358" w14:cap="sq" w14:cmpd="sng">
                        <w14:solidFill>
                          <w14:srgbClr w14:val="000000"/>
                        </w14:solidFill>
                        <w14:prstDash w14:val="solid"/>
                        <w14:bevel/>
                      </w14:textOutline>
                    </w:rPr>
                    <w:t>监测项目</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14:textOutline w14:w="4358" w14:cap="sq" w14:cmpd="sng">
                        <w14:solidFill>
                          <w14:srgbClr w14:val="000000"/>
                        </w14:solidFill>
                        <w14:prstDash w14:val="solid"/>
                        <w14:bevel/>
                      </w14:textOutline>
                    </w:rPr>
                    <w:t>分析方法</w:t>
                  </w:r>
                </w:p>
              </w:tc>
              <w:tc>
                <w:tcPr>
                  <w:tcW w:w="160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14:textOutline w14:w="4358" w14:cap="sq" w14:cmpd="sng">
                        <w14:solidFill>
                          <w14:srgbClr w14:val="000000"/>
                        </w14:solidFill>
                        <w14:prstDash w14:val="solid"/>
                        <w14:bevel/>
                      </w14:textOutline>
                    </w:rPr>
                    <w:t>依据标准</w:t>
                  </w:r>
                </w:p>
              </w:tc>
              <w:tc>
                <w:tcPr>
                  <w:tcW w:w="74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14:textOutline w14:w="4358" w14:cap="sq" w14:cmpd="sng">
                        <w14:solidFill>
                          <w14:srgbClr w14:val="000000"/>
                        </w14:solidFill>
                        <w14:prstDash w14:val="solid"/>
                        <w14:bevel/>
                      </w14:textOutline>
                    </w:rPr>
                    <w:t>最低检出限</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pH 值</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电极法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w:t>
                  </w:r>
                  <w:r>
                    <w:rPr>
                      <w:rFonts w:hint="default" w:ascii="Times New Roman" w:hAnsi="Times New Roman" w:eastAsia="宋体" w:cs="Times New Roman"/>
                      <w:b w:val="0"/>
                      <w:bCs w:val="0"/>
                      <w:spacing w:val="0"/>
                      <w:w w:val="101"/>
                      <w:sz w:val="21"/>
                      <w:szCs w:val="21"/>
                      <w:highlight w:val="none"/>
                    </w:rPr>
                    <w:t xml:space="preserve"> </w:t>
                  </w:r>
                  <w:r>
                    <w:rPr>
                      <w:rFonts w:hint="default" w:ascii="Times New Roman" w:hAnsi="Times New Roman" w:eastAsia="宋体" w:cs="Times New Roman"/>
                      <w:b w:val="0"/>
                      <w:bCs w:val="0"/>
                      <w:spacing w:val="0"/>
                      <w:sz w:val="21"/>
                      <w:szCs w:val="21"/>
                      <w:highlight w:val="none"/>
                    </w:rPr>
                    <w:t>1147-2020</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氨氮</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纳氏试剂分光光度法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 535-2009</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0.025mg/L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3</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总硬度</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EDTA 滴定法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GB/T5750.4-2023(10.1)</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1.0mg/L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4</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溶解性总固体</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称量法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GB/T5750.4-2023(11.1)</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5</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硫酸盐</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离子色谱法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HJ84-2016</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0.018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6</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氯化物</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离子色谱法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HJ84-2016</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0.007mg/L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7</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硝酸盐氮</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离子色谱法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HJ84-2016</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0.004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8</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氟化物</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离子色谱法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HJ84-2016</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0.006mg/L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9</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亚硝酸盐氮</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离子色谱法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HJ84-2016</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0.005mg/L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10</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六价铬</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二苯碳酰二肼分光光度法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 7467- 1987</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0.004mg/L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11</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挥发酚</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4-氨基安替比林分光光度法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 503-2009</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0.0003mg/L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12</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氰化物</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异烟酸-吡唑啉酮分光光度法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HJ484-2009</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0.004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13</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汞</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原子荧光法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 694-2014</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0.04μg/L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14</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砷</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原子荧光法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 694-2014</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0.3μg/L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15</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镉</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石墨炉原子吸收法</w:t>
                  </w:r>
                </w:p>
              </w:tc>
              <w:tc>
                <w:tcPr>
                  <w:tcW w:w="160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《水和废水监测分析方法》第四版增补版国家环境保护总局（2002年）</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 10μg/L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16</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铅</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石墨炉原子吸收法</w:t>
                  </w:r>
                </w:p>
              </w:tc>
              <w:tc>
                <w:tcPr>
                  <w:tcW w:w="160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《水和废水监测分析方法》第四版增补版国家环境保护总局（2002年）</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1μg/L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17</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铁</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电感耦合等离子体发射光谱仪法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HJ776-2015</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0.02mg/L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18</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锰</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电感耦合等离子体发射光谱仪法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HJ776-2015</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0.004mg/L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19</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耗氧量</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酸性高锰酸钾滴定法</w:t>
                  </w:r>
                </w:p>
              </w:tc>
              <w:tc>
                <w:tcPr>
                  <w:tcW w:w="160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GB/T5750.7-2023（4.1）</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0.05 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20</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菌落总数</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平皿计数法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GB/T5750.12-2023(4.1)</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21</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总大肠菌群</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多管发酵法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GB/T5750.12-2023(5.1)</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22</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石油类</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紫外分光光度法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HJ970-2018</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0.01mg/L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23</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苯</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气相色谱法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HJ1067-2019</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2μg/L</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7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24</w:t>
                  </w:r>
                </w:p>
              </w:tc>
              <w:tc>
                <w:tcPr>
                  <w:tcW w:w="8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甲苯</w:t>
                  </w:r>
                </w:p>
              </w:tc>
              <w:tc>
                <w:tcPr>
                  <w:tcW w:w="14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气相色谱法</w:t>
                  </w:r>
                </w:p>
              </w:tc>
              <w:tc>
                <w:tcPr>
                  <w:tcW w:w="160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HJ1067-2019</w:t>
                  </w:r>
                </w:p>
              </w:tc>
              <w:tc>
                <w:tcPr>
                  <w:tcW w:w="74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val="0"/>
                      <w:spacing w:val="0"/>
                      <w:sz w:val="21"/>
                      <w:szCs w:val="21"/>
                      <w:highlight w:val="none"/>
                    </w:rPr>
                  </w:pPr>
                  <w:r>
                    <w:rPr>
                      <w:rFonts w:hint="default" w:ascii="Times New Roman" w:hAnsi="Times New Roman" w:eastAsia="宋体" w:cs="Times New Roman"/>
                      <w:b w:val="0"/>
                      <w:bCs w:val="0"/>
                      <w:spacing w:val="0"/>
                      <w:sz w:val="21"/>
                      <w:szCs w:val="21"/>
                      <w:highlight w:val="none"/>
                    </w:rPr>
                    <w:t>2μg/L</w:t>
                  </w:r>
                </w:p>
              </w:tc>
            </w:tr>
          </w:tbl>
          <w:p>
            <w:pPr>
              <w:adjustRightInd w:val="0"/>
              <w:snapToGrid w:val="0"/>
              <w:spacing w:line="360" w:lineRule="auto"/>
              <w:contextualSpacing/>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4"/>
                <w:szCs w:val="24"/>
                <w:highlight w:val="none"/>
                <w:lang w:val="en-US" w:eastAsia="zh-CN"/>
                <w14:textFill>
                  <w14:solidFill>
                    <w14:schemeClr w14:val="tx1"/>
                  </w14:solidFill>
                </w14:textFill>
              </w:rPr>
              <w:t>6.1.3噪声检测</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pPr>
            <w:r>
              <w:rPr>
                <w:rFonts w:hint="default" w:ascii="Times New Roman" w:hAnsi="Times New Roman" w:eastAsia="宋体" w:cs="Times New Roman"/>
                <w:snapToGrid w:val="0"/>
                <w:color w:val="000000" w:themeColor="text1"/>
                <w:spacing w:val="0"/>
                <w:kern w:val="0"/>
                <w:position w:val="0"/>
                <w:sz w:val="24"/>
                <w:szCs w:val="24"/>
                <w:highlight w:val="none"/>
                <w:lang w:val="en-US" w:eastAsia="zh-CN" w:bidi="ar-SA"/>
                <w14:textFill>
                  <w14:solidFill>
                    <w14:schemeClr w14:val="tx1"/>
                  </w14:solidFill>
                </w14:textFill>
              </w:rPr>
              <w:t>监测点位及监测频次见下表6-</w:t>
            </w:r>
            <w:r>
              <w:rPr>
                <w:rFonts w:hint="eastAsia" w:ascii="Times New Roman" w:hAnsi="Times New Roman" w:eastAsia="宋体" w:cs="Times New Roman"/>
                <w:snapToGrid w:val="0"/>
                <w:color w:val="000000" w:themeColor="text1"/>
                <w:spacing w:val="0"/>
                <w:kern w:val="0"/>
                <w:position w:val="0"/>
                <w:sz w:val="24"/>
                <w:szCs w:val="24"/>
                <w:highlight w:val="none"/>
                <w:lang w:val="en-US" w:eastAsia="zh-CN" w:bidi="ar-SA"/>
                <w14:textFill>
                  <w14:solidFill>
                    <w14:schemeClr w14:val="tx1"/>
                  </w14:solidFill>
                </w14:textFill>
              </w:rPr>
              <w:t>7、6-8</w:t>
            </w:r>
            <w:r>
              <w:rPr>
                <w:rFonts w:hint="default" w:ascii="Times New Roman" w:hAnsi="Times New Roman" w:eastAsia="宋体" w:cs="Times New Roman"/>
                <w:snapToGrid w:val="0"/>
                <w:color w:val="000000" w:themeColor="text1"/>
                <w:spacing w:val="0"/>
                <w:kern w:val="0"/>
                <w:position w:val="0"/>
                <w:sz w:val="24"/>
                <w:szCs w:val="24"/>
                <w:highlight w:val="none"/>
                <w:lang w:val="en-US" w:eastAsia="zh-CN" w:bidi="ar-SA"/>
                <w14:textFill>
                  <w14:solidFill>
                    <w14:schemeClr w14:val="tx1"/>
                  </w14:solidFill>
                </w14:textFill>
              </w:rPr>
              <w:t>，检测分析方法及检测仪器具体见表6-</w:t>
            </w:r>
            <w:r>
              <w:rPr>
                <w:rFonts w:hint="eastAsia" w:ascii="Times New Roman" w:hAnsi="Times New Roman" w:eastAsia="宋体" w:cs="Times New Roman"/>
                <w:snapToGrid w:val="0"/>
                <w:color w:val="000000" w:themeColor="text1"/>
                <w:spacing w:val="0"/>
                <w:kern w:val="0"/>
                <w:position w:val="0"/>
                <w:sz w:val="24"/>
                <w:szCs w:val="24"/>
                <w:highlight w:val="none"/>
                <w:lang w:val="en-US" w:eastAsia="zh-CN" w:bidi="ar-SA"/>
                <w14:textFill>
                  <w14:solidFill>
                    <w14:schemeClr w14:val="tx1"/>
                  </w14:solidFill>
                </w14:textFill>
              </w:rPr>
              <w:t>9</w:t>
            </w:r>
            <w:r>
              <w:rPr>
                <w:rFonts w:hint="default" w:ascii="Times New Roman" w:hAnsi="Times New Roman" w:eastAsia="宋体" w:cs="Times New Roman"/>
                <w:snapToGrid w:val="0"/>
                <w:color w:val="000000" w:themeColor="text1"/>
                <w:spacing w:val="0"/>
                <w:kern w:val="0"/>
                <w:position w:val="0"/>
                <w:sz w:val="24"/>
                <w:szCs w:val="24"/>
                <w:highlight w:val="none"/>
                <w:lang w:val="en-US" w:eastAsia="zh-CN" w:bidi="ar-SA"/>
                <w14:textFill>
                  <w14:solidFill>
                    <w14:schemeClr w14:val="tx1"/>
                  </w14:solidFill>
                </w14:textFill>
              </w:rPr>
              <w:t>。</w:t>
            </w:r>
          </w:p>
          <w:p>
            <w:pPr>
              <w:keepNext w:val="0"/>
              <w:keepLines w:val="0"/>
              <w:pageBreakBefore w:val="0"/>
              <w:widowControl w:val="0"/>
              <w:kinsoku/>
              <w:wordWrap/>
              <w:overflowPunct/>
              <w:topLinePunct w:val="0"/>
              <w:bidi w:val="0"/>
              <w:spacing w:line="360" w:lineRule="auto"/>
              <w:ind w:left="0" w:firstLine="480" w:firstLineChars="200"/>
              <w:jc w:val="center"/>
              <w:rPr>
                <w:rFonts w:hint="default" w:ascii="Times New Roman" w:hAnsi="Times New Roman" w:eastAsia="宋体" w:cs="Times New Roman"/>
                <w:spacing w:val="0"/>
                <w:position w:val="0"/>
                <w:sz w:val="24"/>
                <w:szCs w:val="24"/>
                <w:highlight w:val="none"/>
              </w:rPr>
            </w:pP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0"/>
                <w:position w:val="0"/>
                <w:sz w:val="24"/>
                <w:szCs w:val="24"/>
                <w:highlight w:val="none"/>
                <w:lang w:val="en-US" w:eastAsia="zh-CN"/>
              </w:rPr>
              <w:t>6-</w:t>
            </w:r>
            <w:r>
              <w:rPr>
                <w:rFonts w:hint="eastAsia" w:ascii="Times New Roman" w:hAnsi="Times New Roman" w:eastAsia="宋体" w:cs="Times New Roman"/>
                <w:spacing w:val="0"/>
                <w:position w:val="0"/>
                <w:sz w:val="24"/>
                <w:szCs w:val="24"/>
                <w:highlight w:val="none"/>
                <w:lang w:val="en-US" w:eastAsia="zh-CN"/>
              </w:rPr>
              <w:t>7</w:t>
            </w:r>
            <w:r>
              <w:rPr>
                <w:rFonts w:hint="default" w:ascii="Times New Roman" w:hAnsi="Times New Roman" w:eastAsia="宋体" w:cs="Times New Roman"/>
                <w:b/>
                <w:bCs/>
                <w:spacing w:val="0"/>
                <w:position w:val="0"/>
                <w:sz w:val="24"/>
                <w:szCs w:val="24"/>
                <w:highlight w:val="none"/>
              </w:rPr>
              <w:t xml:space="preserve">     </w:t>
            </w: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噪声监测点位及频次</w:t>
            </w:r>
          </w:p>
          <w:tbl>
            <w:tblPr>
              <w:tblStyle w:val="66"/>
              <w:tblW w:w="4995"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38"/>
              <w:gridCol w:w="785"/>
              <w:gridCol w:w="2949"/>
              <w:gridCol w:w="581"/>
              <w:gridCol w:w="1846"/>
              <w:gridCol w:w="1499"/>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序号</w:t>
                  </w:r>
                </w:p>
              </w:tc>
              <w:tc>
                <w:tcPr>
                  <w:tcW w:w="2249"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监测点</w:t>
                  </w:r>
                </w:p>
              </w:tc>
              <w:tc>
                <w:tcPr>
                  <w:tcW w:w="35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性质</w:t>
                  </w:r>
                </w:p>
              </w:tc>
              <w:tc>
                <w:tcPr>
                  <w:tcW w:w="111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频次</w:t>
                  </w:r>
                </w:p>
              </w:tc>
              <w:tc>
                <w:tcPr>
                  <w:tcW w:w="90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备注</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tc>
              <w:tc>
                <w:tcPr>
                  <w:tcW w:w="473"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A站</w:t>
                  </w: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厂界东侧外 1.0m 处</w:t>
                  </w:r>
                </w:p>
              </w:tc>
              <w:tc>
                <w:tcPr>
                  <w:tcW w:w="350"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厂界噪声</w:t>
                  </w:r>
                </w:p>
              </w:tc>
              <w:tc>
                <w:tcPr>
                  <w:tcW w:w="1112"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监测两天，昼间、夜间</w:t>
                  </w:r>
                </w:p>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各一次。（昼间为 6：00-22：00 ，夜间为 22：00-6：00）</w:t>
                  </w:r>
                </w:p>
              </w:tc>
              <w:tc>
                <w:tcPr>
                  <w:tcW w:w="903"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无雨雪、无雷电风速小于5m/s</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厂界南侧外 1.0m 处</w:t>
                  </w:r>
                </w:p>
              </w:tc>
              <w:tc>
                <w:tcPr>
                  <w:tcW w:w="35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厂界西侧外 1.0m 处</w:t>
                  </w:r>
                </w:p>
              </w:tc>
              <w:tc>
                <w:tcPr>
                  <w:tcW w:w="35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厂界北侧外 1.0m 处</w:t>
                  </w:r>
                </w:p>
              </w:tc>
              <w:tc>
                <w:tcPr>
                  <w:tcW w:w="35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bl>
          <w:p>
            <w:pPr>
              <w:keepNext w:val="0"/>
              <w:keepLines w:val="0"/>
              <w:pageBreakBefore w:val="0"/>
              <w:widowControl w:val="0"/>
              <w:kinsoku/>
              <w:wordWrap/>
              <w:overflowPunct/>
              <w:topLinePunct w:val="0"/>
              <w:bidi w:val="0"/>
              <w:spacing w:line="360" w:lineRule="auto"/>
              <w:ind w:left="0" w:firstLine="480" w:firstLineChars="200"/>
              <w:jc w:val="center"/>
              <w:rPr>
                <w:rFonts w:hint="default" w:ascii="Times New Roman" w:hAnsi="Times New Roman" w:eastAsia="宋体" w:cs="Times New Roman"/>
                <w:spacing w:val="0"/>
                <w:position w:val="0"/>
                <w:sz w:val="24"/>
                <w:szCs w:val="24"/>
                <w:highlight w:val="none"/>
              </w:rPr>
            </w:pP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0"/>
                <w:position w:val="0"/>
                <w:sz w:val="24"/>
                <w:szCs w:val="24"/>
                <w:highlight w:val="none"/>
                <w:lang w:val="en-US" w:eastAsia="zh-CN"/>
              </w:rPr>
              <w:t>6-</w:t>
            </w:r>
            <w:r>
              <w:rPr>
                <w:rFonts w:hint="eastAsia" w:ascii="Times New Roman" w:hAnsi="Times New Roman" w:eastAsia="宋体" w:cs="Times New Roman"/>
                <w:spacing w:val="0"/>
                <w:position w:val="0"/>
                <w:sz w:val="24"/>
                <w:szCs w:val="24"/>
                <w:highlight w:val="none"/>
                <w:lang w:val="en-US" w:eastAsia="zh-CN"/>
              </w:rPr>
              <w:t>8</w:t>
            </w:r>
            <w:r>
              <w:rPr>
                <w:rFonts w:hint="default" w:ascii="Times New Roman" w:hAnsi="Times New Roman" w:eastAsia="宋体" w:cs="Times New Roman"/>
                <w:b/>
                <w:bCs/>
                <w:spacing w:val="0"/>
                <w:position w:val="0"/>
                <w:sz w:val="24"/>
                <w:szCs w:val="24"/>
                <w:highlight w:val="none"/>
              </w:rPr>
              <w:t xml:space="preserve">     </w:t>
            </w: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噪声监测点位及频次</w:t>
            </w:r>
          </w:p>
          <w:tbl>
            <w:tblPr>
              <w:tblStyle w:val="66"/>
              <w:tblW w:w="4995"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38"/>
              <w:gridCol w:w="785"/>
              <w:gridCol w:w="2949"/>
              <w:gridCol w:w="581"/>
              <w:gridCol w:w="1846"/>
              <w:gridCol w:w="1499"/>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序号</w:t>
                  </w:r>
                </w:p>
              </w:tc>
              <w:tc>
                <w:tcPr>
                  <w:tcW w:w="2249"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监测点</w:t>
                  </w:r>
                </w:p>
              </w:tc>
              <w:tc>
                <w:tcPr>
                  <w:tcW w:w="35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性质</w:t>
                  </w:r>
                </w:p>
              </w:tc>
              <w:tc>
                <w:tcPr>
                  <w:tcW w:w="111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频次</w:t>
                  </w:r>
                </w:p>
              </w:tc>
              <w:tc>
                <w:tcPr>
                  <w:tcW w:w="903"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备注</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tc>
              <w:tc>
                <w:tcPr>
                  <w:tcW w:w="473"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B站</w:t>
                  </w: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厂界东侧外 1.0m 处</w:t>
                  </w:r>
                </w:p>
              </w:tc>
              <w:tc>
                <w:tcPr>
                  <w:tcW w:w="350"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厂界噪声</w:t>
                  </w:r>
                </w:p>
              </w:tc>
              <w:tc>
                <w:tcPr>
                  <w:tcW w:w="1112"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监测两天，昼间、夜间</w:t>
                  </w:r>
                </w:p>
                <w:p>
                  <w:pPr>
                    <w:pStyle w:val="6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各一次。（昼间为 6：00-22：00 ，夜间为 22：00-6：00）</w:t>
                  </w:r>
                </w:p>
              </w:tc>
              <w:tc>
                <w:tcPr>
                  <w:tcW w:w="903"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无雨雪、无雷电风速小于5m/s</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厂界南侧外 1.0m 处</w:t>
                  </w:r>
                </w:p>
              </w:tc>
              <w:tc>
                <w:tcPr>
                  <w:tcW w:w="35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厂界西侧外 1.0m 处</w:t>
                  </w:r>
                </w:p>
              </w:tc>
              <w:tc>
                <w:tcPr>
                  <w:tcW w:w="35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38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w:t>
                  </w:r>
                </w:p>
              </w:tc>
              <w:tc>
                <w:tcPr>
                  <w:tcW w:w="473"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77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厂界北侧外 1.0m 处</w:t>
                  </w:r>
                </w:p>
              </w:tc>
              <w:tc>
                <w:tcPr>
                  <w:tcW w:w="35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111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c>
                <w:tcPr>
                  <w:tcW w:w="90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pacing w:val="0"/>
                      <w:position w:val="0"/>
                      <w:sz w:val="21"/>
                      <w:szCs w:val="21"/>
                      <w:highlight w:val="none"/>
                    </w:rPr>
                  </w:pPr>
                </w:p>
              </w:tc>
            </w:tr>
          </w:tbl>
          <w:p>
            <w:pPr>
              <w:keepNext w:val="0"/>
              <w:keepLines w:val="0"/>
              <w:pageBreakBefore w:val="0"/>
              <w:widowControl w:val="0"/>
              <w:kinsoku/>
              <w:wordWrap/>
              <w:overflowPunct/>
              <w:topLinePunct w:val="0"/>
              <w:bidi w:val="0"/>
              <w:spacing w:line="360" w:lineRule="auto"/>
              <w:ind w:left="0" w:firstLine="480" w:firstLineChars="200"/>
              <w:jc w:val="center"/>
              <w:rPr>
                <w:rFonts w:hint="default" w:ascii="Times New Roman" w:hAnsi="Times New Roman" w:eastAsia="宋体" w:cs="Times New Roman"/>
                <w:spacing w:val="0"/>
                <w:position w:val="0"/>
                <w:sz w:val="24"/>
                <w:szCs w:val="24"/>
                <w:highlight w:val="none"/>
              </w:rPr>
            </w:pP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spacing w:val="0"/>
                <w:position w:val="0"/>
                <w:sz w:val="24"/>
                <w:szCs w:val="24"/>
                <w:highlight w:val="none"/>
              </w:rPr>
              <w:t xml:space="preserve"> </w:t>
            </w:r>
            <w:r>
              <w:rPr>
                <w:rFonts w:hint="eastAsia" w:ascii="Times New Roman" w:hAnsi="Times New Roman" w:eastAsia="宋体" w:cs="Times New Roman"/>
                <w:b/>
                <w:bCs/>
                <w:spacing w:val="0"/>
                <w:position w:val="0"/>
                <w:sz w:val="24"/>
                <w:szCs w:val="24"/>
                <w:highlight w:val="none"/>
                <w:lang w:val="en-US" w:eastAsia="zh-CN"/>
              </w:rPr>
              <w:t>6</w:t>
            </w:r>
            <w:r>
              <w:rPr>
                <w:rFonts w:hint="default" w:ascii="Times New Roman" w:hAnsi="Times New Roman" w:eastAsia="宋体" w:cs="Times New Roman"/>
                <w:b/>
                <w:bCs/>
                <w:spacing w:val="0"/>
                <w:position w:val="0"/>
                <w:sz w:val="24"/>
                <w:szCs w:val="24"/>
                <w:highlight w:val="none"/>
              </w:rPr>
              <w:t>-</w:t>
            </w:r>
            <w:r>
              <w:rPr>
                <w:rFonts w:hint="eastAsia" w:ascii="Times New Roman" w:hAnsi="Times New Roman" w:eastAsia="宋体" w:cs="Times New Roman"/>
                <w:b/>
                <w:bCs/>
                <w:spacing w:val="0"/>
                <w:position w:val="0"/>
                <w:sz w:val="24"/>
                <w:szCs w:val="24"/>
                <w:highlight w:val="none"/>
                <w:lang w:val="en-US" w:eastAsia="zh-CN"/>
              </w:rPr>
              <w:t>9</w:t>
            </w:r>
            <w:r>
              <w:rPr>
                <w:rFonts w:hint="default" w:ascii="Times New Roman" w:hAnsi="Times New Roman" w:eastAsia="宋体" w:cs="Times New Roman"/>
                <w:b/>
                <w:bCs/>
                <w:spacing w:val="0"/>
                <w:position w:val="0"/>
                <w:sz w:val="24"/>
                <w:szCs w:val="24"/>
                <w:highlight w:val="none"/>
              </w:rPr>
              <w:t xml:space="preserve">  </w:t>
            </w:r>
            <w:r>
              <w:rPr>
                <w:rFonts w:hint="eastAsia" w:ascii="Times New Roman" w:hAnsi="Times New Roman" w:eastAsia="宋体" w:cs="Times New Roman"/>
                <w:b/>
                <w:bCs/>
                <w:spacing w:val="0"/>
                <w:position w:val="0"/>
                <w:sz w:val="24"/>
                <w:szCs w:val="24"/>
                <w:highlight w:val="none"/>
                <w:lang w:val="en-US" w:eastAsia="zh-CN"/>
              </w:rPr>
              <w:t xml:space="preserve">   </w:t>
            </w:r>
            <w:r>
              <w:rPr>
                <w:rFonts w:hint="default" w:ascii="Times New Roman" w:hAnsi="Times New Roman" w:eastAsia="宋体" w:cs="Times New Roman"/>
                <w:spacing w:val="0"/>
                <w:position w:val="0"/>
                <w:sz w:val="24"/>
                <w:szCs w:val="24"/>
                <w:highlight w:val="none"/>
                <w14:textOutline w14:w="5103" w14:cap="sq" w14:cmpd="sng">
                  <w14:solidFill>
                    <w14:srgbClr w14:val="000000"/>
                  </w14:solidFill>
                  <w14:prstDash w14:val="solid"/>
                  <w14:bevel/>
                </w14:textOutline>
              </w:rPr>
              <w:t>噪声监测项目及依据</w:t>
            </w:r>
          </w:p>
          <w:tbl>
            <w:tblPr>
              <w:tblStyle w:val="66"/>
              <w:tblW w:w="4995"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387"/>
              <w:gridCol w:w="1801"/>
              <w:gridCol w:w="1916"/>
              <w:gridCol w:w="3194"/>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836"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项目</w:t>
                  </w:r>
                </w:p>
              </w:tc>
              <w:tc>
                <w:tcPr>
                  <w:tcW w:w="108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分析方法</w:t>
                  </w:r>
                </w:p>
              </w:tc>
              <w:tc>
                <w:tcPr>
                  <w:tcW w:w="1154"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方法来源</w:t>
                  </w:r>
                </w:p>
              </w:tc>
              <w:tc>
                <w:tcPr>
                  <w:tcW w:w="1924"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14:textOutline w14:w="4358" w14:cap="sq" w14:cmpd="sng">
                        <w14:solidFill>
                          <w14:srgbClr w14:val="000000"/>
                        </w14:solidFill>
                        <w14:prstDash w14:val="solid"/>
                        <w14:bevel/>
                      </w14:textOutline>
                    </w:rPr>
                    <w:t>仪器设备</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836"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厂界噪声</w:t>
                  </w:r>
                </w:p>
              </w:tc>
              <w:tc>
                <w:tcPr>
                  <w:tcW w:w="108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仪器法</w:t>
                  </w:r>
                </w:p>
              </w:tc>
              <w:tc>
                <w:tcPr>
                  <w:tcW w:w="1154" w:type="pct"/>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GB12348-2008</w:t>
                  </w:r>
                </w:p>
              </w:tc>
              <w:tc>
                <w:tcPr>
                  <w:tcW w:w="1924"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AWA6228+型多功能声级计</w:t>
                  </w:r>
                </w:p>
              </w:tc>
            </w:tr>
          </w:tbl>
          <w:p>
            <w:pPr>
              <w:pStyle w:val="27"/>
              <w:keepNext w:val="0"/>
              <w:keepLines w:val="0"/>
              <w:pageBreakBefore w:val="0"/>
              <w:widowControl w:val="0"/>
              <w:kinsoku/>
              <w:wordWrap/>
              <w:overflowPunct/>
              <w:topLinePunct w:val="0"/>
              <w:bidi w:val="0"/>
              <w:spacing w:line="360" w:lineRule="auto"/>
              <w:jc w:val="both"/>
              <w:rPr>
                <w:rFonts w:hint="eastAsia" w:ascii="Times New Roman" w:cs="Times New Roman"/>
                <w:b/>
                <w:bCs/>
                <w:color w:val="000000" w:themeColor="text1"/>
                <w:spacing w:val="0"/>
                <w:position w:val="0"/>
                <w:sz w:val="24"/>
                <w:szCs w:val="24"/>
                <w:highlight w:val="none"/>
                <w:lang w:val="en-US" w:eastAsia="zh-CN"/>
                <w14:textFill>
                  <w14:solidFill>
                    <w14:schemeClr w14:val="tx1"/>
                  </w14:solidFill>
                </w14:textFill>
              </w:rPr>
            </w:pPr>
            <w:r>
              <w:rPr>
                <w:rFonts w:hint="eastAsia" w:ascii="Times New Roman" w:cs="Times New Roman"/>
                <w:b/>
                <w:bCs/>
                <w:color w:val="000000" w:themeColor="text1"/>
                <w:spacing w:val="0"/>
                <w:position w:val="0"/>
                <w:sz w:val="24"/>
                <w:szCs w:val="24"/>
                <w:highlight w:val="none"/>
                <w:lang w:val="en-US" w:eastAsia="zh-CN"/>
                <w14:textFill>
                  <w14:solidFill>
                    <w14:schemeClr w14:val="tx1"/>
                  </w14:solidFill>
                </w14:textFill>
              </w:rPr>
              <w:t>6.1.4废水监测</w:t>
            </w:r>
          </w:p>
          <w:p>
            <w:pPr>
              <w:ind w:firstLine="480" w:firstLineChars="200"/>
              <w:rPr>
                <w:rFonts w:hint="default" w:ascii="Times New Roman" w:cs="Times New Roman"/>
                <w:b/>
                <w:bCs/>
                <w:color w:val="000000" w:themeColor="text1"/>
                <w:spacing w:val="0"/>
                <w:position w:val="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pacing w:val="0"/>
                <w:position w:val="0"/>
                <w:sz w:val="24"/>
                <w:szCs w:val="24"/>
                <w:highlight w:val="none"/>
                <w:lang w:val="en-US" w:eastAsia="zh-CN"/>
                <w14:textFill>
                  <w14:solidFill>
                    <w14:schemeClr w14:val="tx1"/>
                  </w14:solidFill>
                </w14:textFill>
              </w:rPr>
              <w:t>本项目废水验收期间工作人员较少，暂时依托服务区排放</w:t>
            </w:r>
            <w:r>
              <w:rPr>
                <w:rFonts w:hint="eastAsia" w:ascii="Times New Roman" w:hAnsi="Times New Roman" w:eastAsia="宋体" w:cs="Times New Roman"/>
                <w:b w:val="0"/>
                <w:bCs w:val="0"/>
                <w:color w:val="000000" w:themeColor="text1"/>
                <w:spacing w:val="0"/>
                <w:position w:val="0"/>
                <w:sz w:val="24"/>
                <w:szCs w:val="24"/>
                <w:highlight w:val="none"/>
                <w:lang w:val="en-US" w:eastAsia="zh-CN"/>
                <w14:textFill>
                  <w14:solidFill>
                    <w14:schemeClr w14:val="tx1"/>
                  </w14:solidFill>
                </w14:textFill>
              </w:rPr>
              <w:t>。</w:t>
            </w: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p>
            <w:pPr>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bl>
    <w:p>
      <w:pPr>
        <w:rPr>
          <w:b/>
          <w:color w:val="000000" w:themeColor="text1"/>
          <w:sz w:val="28"/>
          <w:szCs w:val="28"/>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表七</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1" w:hRule="atLeast"/>
        </w:trPr>
        <w:tc>
          <w:tcPr>
            <w:tcW w:w="8522" w:type="dxa"/>
          </w:tcPr>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4"/>
                <w:szCs w:val="24"/>
                <w:highlight w:val="none"/>
                <w:lang w:val="en-US" w:eastAsia="zh-CN"/>
                <w14:textFill>
                  <w14:solidFill>
                    <w14:schemeClr w14:val="tx1"/>
                  </w14:solidFill>
                </w14:textFill>
              </w:rPr>
              <w:t>7.1验收监测期间生产工况记录</w:t>
            </w:r>
          </w:p>
          <w:p>
            <w:pPr>
              <w:adjustRightInd w:val="0"/>
              <w:snapToGrid w:val="0"/>
              <w:spacing w:line="360" w:lineRule="auto"/>
              <w:ind w:firstLine="480" w:firstLineChars="200"/>
              <w:contextualSpacing/>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验收监测期间，本项目正常运行，监测期间工况能够达到验收条件。</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7.</w:t>
            </w:r>
            <w:r>
              <w:rPr>
                <w:rFonts w:hint="eastAsia" w:ascii="Times New Roman" w:hAnsi="Times New Roman" w:eastAsia="宋体" w:cs="Times New Roman"/>
                <w:b/>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验收监测结果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7.</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质量保证与质量控制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一）为确保本次监测数据具有代表性、准确性和可靠性，严格按照国家相关技术规范及相关标准的有关规定执行。依据质控措施，对监测全过程包括采样、样品分析、数据处理等各个环节均进行了严格的质量控制。本次监测分析人员均持证上岗，所用仪器、量器均经计量部门检定和分析人员校准，并在有效期内。监测所有原始数据、统计数据，均经三级审核后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7.2.2验收监测结果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无组织废气</w:t>
            </w:r>
            <w:r>
              <w:rPr>
                <w:rFonts w:hint="default" w:ascii="Times New Roman" w:hAnsi="Times New Roman" w:eastAsia="宋体" w:cs="Times New Roman"/>
                <w:color w:val="000000" w:themeColor="text1"/>
                <w:sz w:val="24"/>
                <w:szCs w:val="24"/>
                <w:highlight w:val="none"/>
                <w14:textFill>
                  <w14:solidFill>
                    <w14:schemeClr w14:val="tx1"/>
                  </w14:solidFill>
                </w14:textFill>
              </w:rPr>
              <w:t>监测结果详见表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地下水监测结果详情见表7-3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，噪声</w:t>
            </w:r>
            <w:r>
              <w:rPr>
                <w:rFonts w:hint="default" w:ascii="Times New Roman" w:hAnsi="Times New Roman" w:eastAsia="宋体" w:cs="Times New Roman"/>
                <w:color w:val="000000" w:themeColor="text1"/>
                <w:sz w:val="24"/>
                <w:szCs w:val="24"/>
                <w:highlight w:val="none"/>
                <w14:textFill>
                  <w14:solidFill>
                    <w14:schemeClr w14:val="tx1"/>
                  </w14:solidFill>
                </w14:textFill>
              </w:rPr>
              <w:t>监测结果详见表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5、7-6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default" w:ascii="Times New Roman" w:hAnsi="Times New Roman" w:eastAsia="宋体" w:cs="Times New Roman"/>
                <w:b w:val="0"/>
                <w:bCs w:val="0"/>
                <w:spacing w:val="0"/>
                <w:sz w:val="24"/>
                <w:szCs w:val="24"/>
                <w:highlight w:val="none"/>
              </w:rPr>
            </w:pPr>
            <w:r>
              <w:rPr>
                <w:rFonts w:hint="default" w:ascii="Times New Roman" w:hAnsi="Times New Roman" w:eastAsia="宋体" w:cs="Times New Roman"/>
                <w:b w:val="0"/>
                <w:bCs w:val="0"/>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b w:val="0"/>
                <w:bCs w:val="0"/>
                <w:spacing w:val="0"/>
                <w:sz w:val="24"/>
                <w:szCs w:val="24"/>
                <w:highlight w:val="none"/>
                <w:lang w:val="en-US" w:eastAsia="zh-CN"/>
              </w:rPr>
              <w:t>7</w:t>
            </w:r>
            <w:r>
              <w:rPr>
                <w:rFonts w:hint="default" w:ascii="Times New Roman" w:hAnsi="Times New Roman" w:eastAsia="宋体" w:cs="Times New Roman"/>
                <w:b w:val="0"/>
                <w:bCs w:val="0"/>
                <w:spacing w:val="0"/>
                <w:sz w:val="24"/>
                <w:szCs w:val="24"/>
                <w:highlight w:val="none"/>
              </w:rPr>
              <w:t xml:space="preserve">-1 </w:t>
            </w:r>
            <w:r>
              <w:rPr>
                <w:rFonts w:hint="default" w:ascii="Times New Roman" w:hAnsi="Times New Roman" w:eastAsia="宋体" w:cs="Times New Roman"/>
                <w:b w:val="0"/>
                <w:bCs w:val="0"/>
                <w:spacing w:val="0"/>
                <w:sz w:val="24"/>
                <w:szCs w:val="24"/>
                <w:highlight w:val="none"/>
                <w:lang w:val="en-US" w:eastAsia="zh-CN"/>
              </w:rPr>
              <w:t xml:space="preserve">  </w:t>
            </w:r>
            <w:r>
              <w:rPr>
                <w:rFonts w:hint="default" w:ascii="Times New Roman" w:hAnsi="Times New Roman" w:eastAsia="宋体" w:cs="Times New Roman"/>
                <w:b w:val="0"/>
                <w:bCs w:val="0"/>
                <w:spacing w:val="0"/>
                <w:sz w:val="24"/>
                <w:szCs w:val="24"/>
                <w:highlight w:val="none"/>
              </w:rPr>
              <w:t xml:space="preserve"> </w:t>
            </w:r>
            <w:r>
              <w:rPr>
                <w:rFonts w:hint="default" w:ascii="Times New Roman" w:hAnsi="Times New Roman" w:eastAsia="宋体" w:cs="Times New Roman"/>
                <w:b w:val="0"/>
                <w:bCs w:val="0"/>
                <w:spacing w:val="0"/>
                <w:sz w:val="24"/>
                <w:szCs w:val="24"/>
                <w:highlight w:val="none"/>
                <w14:textOutline w14:w="5103" w14:cap="sq" w14:cmpd="sng">
                  <w14:solidFill>
                    <w14:srgbClr w14:val="000000"/>
                  </w14:solidFill>
                  <w14:prstDash w14:val="solid"/>
                  <w14:bevel/>
                </w14:textOutline>
              </w:rPr>
              <w:t>无组织废气监测结果统计表</w:t>
            </w:r>
          </w:p>
          <w:tbl>
            <w:tblPr>
              <w:tblStyle w:val="66"/>
              <w:tblW w:w="4994"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92"/>
              <w:gridCol w:w="995"/>
              <w:gridCol w:w="1870"/>
              <w:gridCol w:w="834"/>
              <w:gridCol w:w="905"/>
              <w:gridCol w:w="998"/>
              <w:gridCol w:w="963"/>
              <w:gridCol w:w="739"/>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197"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点位编号及名称</w:t>
                  </w:r>
                </w:p>
              </w:tc>
              <w:tc>
                <w:tcPr>
                  <w:tcW w:w="112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样品编号</w:t>
                  </w:r>
                </w:p>
              </w:tc>
              <w:tc>
                <w:tcPr>
                  <w:tcW w:w="50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采样日期</w:t>
                  </w:r>
                </w:p>
              </w:tc>
              <w:tc>
                <w:tcPr>
                  <w:tcW w:w="54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检测频次</w:t>
                  </w:r>
                </w:p>
              </w:tc>
              <w:tc>
                <w:tcPr>
                  <w:tcW w:w="601" w:type="pct"/>
                  <w:tcBorders>
                    <w:tl2br w:val="single" w:color="000000" w:sz="4" w:space="0"/>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项目</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单位</w:t>
                  </w:r>
                </w:p>
              </w:tc>
              <w:tc>
                <w:tcPr>
                  <w:tcW w:w="5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非甲烷总烃</w:t>
                  </w:r>
                </w:p>
              </w:tc>
              <w:tc>
                <w:tcPr>
                  <w:tcW w:w="44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标准限值mg/m</w:t>
                  </w:r>
                  <w:r>
                    <w:rPr>
                      <w:rFonts w:hint="default" w:ascii="Times New Roman" w:hAnsi="Times New Roman" w:eastAsia="宋体" w:cs="Times New Roman"/>
                      <w:spacing w:val="0"/>
                      <w:position w:val="0"/>
                      <w:sz w:val="21"/>
                      <w:szCs w:val="21"/>
                      <w:highlight w:val="none"/>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A站</w:t>
                  </w:r>
                </w:p>
              </w:tc>
              <w:tc>
                <w:tcPr>
                  <w:tcW w:w="599"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1#厂址（上风向）东南侧10m处</w:t>
                  </w: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WF1192403061101</w:t>
                  </w:r>
                </w:p>
              </w:tc>
              <w:tc>
                <w:tcPr>
                  <w:tcW w:w="502" w:type="pct"/>
                  <w:vMerge w:val="restart"/>
                  <w:tcBorders>
                    <w:bottom w:val="nil"/>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0.26</w:t>
                  </w:r>
                </w:p>
              </w:tc>
              <w:tc>
                <w:tcPr>
                  <w:tcW w:w="445" w:type="pct"/>
                  <w:vMerge w:val="restar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4.</w:t>
                  </w:r>
                  <w:r>
                    <w:rPr>
                      <w:rFonts w:hint="eastAsia" w:ascii="Times New Roman" w:hAnsi="Times New Roman" w:eastAsia="宋体" w:cs="Times New Roman"/>
                      <w:spacing w:val="0"/>
                      <w:position w:val="0"/>
                      <w:sz w:val="21"/>
                      <w:szCs w:val="21"/>
                      <w:highlight w:val="none"/>
                      <w:lang w:val="en-US" w:eastAsia="zh-CN"/>
                    </w:rPr>
                    <w:t>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0.26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0.11</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0.42</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0.43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0.40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2#厂址（下风向）西侧10m处</w:t>
                  </w: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WF1192403062101</w:t>
                  </w:r>
                </w:p>
              </w:tc>
              <w:tc>
                <w:tcPr>
                  <w:tcW w:w="502" w:type="pct"/>
                  <w:vMerge w:val="restart"/>
                  <w:tcBorders>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WF1192403062201</w:t>
                  </w:r>
                </w:p>
              </w:tc>
              <w:tc>
                <w:tcPr>
                  <w:tcW w:w="502" w:type="pct"/>
                  <w:vMerge w:val="continue"/>
                  <w:tcBorders>
                    <w:top w:val="nil"/>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bottom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WF1192403072401</w:t>
                  </w:r>
                </w:p>
              </w:tc>
              <w:tc>
                <w:tcPr>
                  <w:tcW w:w="502" w:type="pct"/>
                  <w:vMerge w:val="continue"/>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0.87</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3#厂址（下风向）西北侧10m 处</w:t>
                  </w: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71"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0.67</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0.64</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0.89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WF1192403073401</w:t>
                  </w:r>
                </w:p>
              </w:tc>
              <w:tc>
                <w:tcPr>
                  <w:tcW w:w="502"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bottom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0.31</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4#厂址（下风向）北侧10m 处</w:t>
                  </w: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0.37</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0.56</w:t>
                  </w:r>
                </w:p>
              </w:tc>
              <w:tc>
                <w:tcPr>
                  <w:tcW w:w="445" w:type="pct"/>
                  <w:vMerge w:val="continue"/>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5#油气回收系统排气筒</w:t>
                  </w:r>
                </w:p>
              </w:tc>
              <w:tc>
                <w:tcPr>
                  <w:tcW w:w="1126"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3月6日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0.81</w:t>
                  </w:r>
                </w:p>
              </w:tc>
              <w:tc>
                <w:tcPr>
                  <w:tcW w:w="445" w:type="pct"/>
                  <w:vMerge w:val="restart"/>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single" w:color="auto" w:sz="4" w:space="0"/>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WF1192403065201</w:t>
                  </w:r>
                </w:p>
              </w:tc>
              <w:tc>
                <w:tcPr>
                  <w:tcW w:w="502" w:type="pct"/>
                  <w:vMerge w:val="continue"/>
                  <w:tcBorders>
                    <w:top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tcBorders>
                    <w:top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第二次</w:t>
                  </w:r>
                </w:p>
              </w:tc>
              <w:tc>
                <w:tcPr>
                  <w:tcW w:w="601"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0.99</w:t>
                  </w:r>
                </w:p>
              </w:tc>
              <w:tc>
                <w:tcPr>
                  <w:tcW w:w="445" w:type="pct"/>
                  <w:vMerge w:val="continue"/>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0.87</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0.82</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WF1192403075101</w:t>
                  </w:r>
                </w:p>
              </w:tc>
              <w:tc>
                <w:tcPr>
                  <w:tcW w:w="502" w:type="pct"/>
                  <w:vMerge w:val="restart"/>
                  <w:tcBorders>
                    <w:bottom w:val="nil"/>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0.90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0.88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0.90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6"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0.94</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default" w:ascii="Times New Roman" w:hAnsi="Times New Roman" w:eastAsia="宋体" w:cs="Times New Roman"/>
                <w:b w:val="0"/>
                <w:bCs w:val="0"/>
                <w:spacing w:val="0"/>
                <w:sz w:val="24"/>
                <w:szCs w:val="24"/>
                <w:highlight w:val="none"/>
              </w:rPr>
            </w:pPr>
            <w:r>
              <w:rPr>
                <w:rFonts w:hint="default" w:ascii="Times New Roman" w:hAnsi="Times New Roman" w:eastAsia="宋体" w:cs="Times New Roman"/>
                <w:b w:val="0"/>
                <w:bCs w:val="0"/>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b w:val="0"/>
                <w:bCs w:val="0"/>
                <w:spacing w:val="0"/>
                <w:sz w:val="24"/>
                <w:szCs w:val="24"/>
                <w:highlight w:val="none"/>
                <w:lang w:val="en-US" w:eastAsia="zh-CN"/>
              </w:rPr>
              <w:t>7</w:t>
            </w:r>
            <w:r>
              <w:rPr>
                <w:rFonts w:hint="default" w:ascii="Times New Roman" w:hAnsi="Times New Roman" w:eastAsia="宋体" w:cs="Times New Roman"/>
                <w:b w:val="0"/>
                <w:bCs w:val="0"/>
                <w:spacing w:val="0"/>
                <w:sz w:val="24"/>
                <w:szCs w:val="24"/>
                <w:highlight w:val="none"/>
              </w:rPr>
              <w:t>-</w:t>
            </w:r>
            <w:r>
              <w:rPr>
                <w:rFonts w:hint="eastAsia" w:ascii="Times New Roman" w:hAnsi="Times New Roman" w:eastAsia="宋体" w:cs="Times New Roman"/>
                <w:b w:val="0"/>
                <w:bCs w:val="0"/>
                <w:spacing w:val="0"/>
                <w:sz w:val="24"/>
                <w:szCs w:val="24"/>
                <w:highlight w:val="none"/>
                <w:lang w:val="en-US" w:eastAsia="zh-CN"/>
              </w:rPr>
              <w:t>2</w:t>
            </w:r>
            <w:r>
              <w:rPr>
                <w:rFonts w:hint="default" w:ascii="Times New Roman" w:hAnsi="Times New Roman" w:eastAsia="宋体" w:cs="Times New Roman"/>
                <w:b w:val="0"/>
                <w:bCs w:val="0"/>
                <w:spacing w:val="0"/>
                <w:sz w:val="24"/>
                <w:szCs w:val="24"/>
                <w:highlight w:val="none"/>
              </w:rPr>
              <w:t xml:space="preserve"> </w:t>
            </w:r>
            <w:r>
              <w:rPr>
                <w:rFonts w:hint="default" w:ascii="Times New Roman" w:hAnsi="Times New Roman" w:eastAsia="宋体" w:cs="Times New Roman"/>
                <w:b w:val="0"/>
                <w:bCs w:val="0"/>
                <w:spacing w:val="0"/>
                <w:sz w:val="24"/>
                <w:szCs w:val="24"/>
                <w:highlight w:val="none"/>
                <w:lang w:val="en-US" w:eastAsia="zh-CN"/>
              </w:rPr>
              <w:t xml:space="preserve">  </w:t>
            </w:r>
            <w:r>
              <w:rPr>
                <w:rFonts w:hint="default" w:ascii="Times New Roman" w:hAnsi="Times New Roman" w:eastAsia="宋体" w:cs="Times New Roman"/>
                <w:b w:val="0"/>
                <w:bCs w:val="0"/>
                <w:spacing w:val="0"/>
                <w:sz w:val="24"/>
                <w:szCs w:val="24"/>
                <w:highlight w:val="none"/>
              </w:rPr>
              <w:t xml:space="preserve"> </w:t>
            </w:r>
            <w:r>
              <w:rPr>
                <w:rFonts w:hint="default" w:ascii="Times New Roman" w:hAnsi="Times New Roman" w:eastAsia="宋体" w:cs="Times New Roman"/>
                <w:b w:val="0"/>
                <w:bCs w:val="0"/>
                <w:spacing w:val="0"/>
                <w:sz w:val="24"/>
                <w:szCs w:val="24"/>
                <w:highlight w:val="none"/>
                <w14:textOutline w14:w="5103" w14:cap="sq" w14:cmpd="sng">
                  <w14:solidFill>
                    <w14:srgbClr w14:val="000000"/>
                  </w14:solidFill>
                  <w14:prstDash w14:val="solid"/>
                  <w14:bevel/>
                </w14:textOutline>
              </w:rPr>
              <w:t>无组织废气监测结果统计表</w:t>
            </w:r>
          </w:p>
          <w:tbl>
            <w:tblPr>
              <w:tblStyle w:val="66"/>
              <w:tblW w:w="4993"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92"/>
              <w:gridCol w:w="993"/>
              <w:gridCol w:w="1871"/>
              <w:gridCol w:w="833"/>
              <w:gridCol w:w="905"/>
              <w:gridCol w:w="998"/>
              <w:gridCol w:w="963"/>
              <w:gridCol w:w="739"/>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197"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点位编号及名称</w:t>
                  </w:r>
                </w:p>
              </w:tc>
              <w:tc>
                <w:tcPr>
                  <w:tcW w:w="1127"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样品编号</w:t>
                  </w:r>
                </w:p>
              </w:tc>
              <w:tc>
                <w:tcPr>
                  <w:tcW w:w="50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采样日期</w:t>
                  </w:r>
                </w:p>
              </w:tc>
              <w:tc>
                <w:tcPr>
                  <w:tcW w:w="54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检测频次</w:t>
                  </w:r>
                </w:p>
              </w:tc>
              <w:tc>
                <w:tcPr>
                  <w:tcW w:w="601" w:type="pct"/>
                  <w:tcBorders>
                    <w:tl2br w:val="single" w:color="000000" w:sz="4" w:space="0"/>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项目</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单位</w:t>
                  </w:r>
                </w:p>
              </w:tc>
              <w:tc>
                <w:tcPr>
                  <w:tcW w:w="5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非甲烷总烃</w:t>
                  </w:r>
                </w:p>
              </w:tc>
              <w:tc>
                <w:tcPr>
                  <w:tcW w:w="44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标准限值mg/m</w:t>
                  </w:r>
                  <w:r>
                    <w:rPr>
                      <w:rFonts w:hint="default" w:ascii="Times New Roman" w:hAnsi="Times New Roman" w:eastAsia="宋体" w:cs="Times New Roman"/>
                      <w:spacing w:val="0"/>
                      <w:position w:val="0"/>
                      <w:sz w:val="21"/>
                      <w:szCs w:val="21"/>
                      <w:highlight w:val="none"/>
                      <w:vertAlign w:val="superscript"/>
                    </w:rPr>
                    <w:t>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B站</w:t>
                  </w:r>
                </w:p>
              </w:tc>
              <w:tc>
                <w:tcPr>
                  <w:tcW w:w="599"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1#厂址（上风向）东南侧10m处</w:t>
                  </w: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WF1192403061101</w:t>
                  </w:r>
                </w:p>
              </w:tc>
              <w:tc>
                <w:tcPr>
                  <w:tcW w:w="502" w:type="pct"/>
                  <w:vMerge w:val="restart"/>
                  <w:tcBorders>
                    <w:bottom w:val="nil"/>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eastAsia="zh-CN"/>
                    </w:rPr>
                  </w:pPr>
                  <w:r>
                    <w:rPr>
                      <w:rFonts w:hint="default" w:ascii="Times New Roman" w:hAnsi="Times New Roman" w:eastAsia="宋体" w:cs="Times New Roman"/>
                      <w:spacing w:val="0"/>
                      <w:position w:val="0"/>
                      <w:sz w:val="21"/>
                      <w:szCs w:val="21"/>
                      <w:highlight w:val="none"/>
                    </w:rPr>
                    <w:t>0.2</w:t>
                  </w:r>
                  <w:r>
                    <w:rPr>
                      <w:rFonts w:hint="eastAsia" w:ascii="Times New Roman" w:hAnsi="Times New Roman" w:eastAsia="宋体" w:cs="Times New Roman"/>
                      <w:spacing w:val="0"/>
                      <w:position w:val="0"/>
                      <w:sz w:val="21"/>
                      <w:szCs w:val="21"/>
                      <w:highlight w:val="none"/>
                      <w:lang w:val="en-US" w:eastAsia="zh-CN"/>
                    </w:rPr>
                    <w:t>9</w:t>
                  </w:r>
                </w:p>
              </w:tc>
              <w:tc>
                <w:tcPr>
                  <w:tcW w:w="445" w:type="pct"/>
                  <w:vMerge w:val="restar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4.</w:t>
                  </w:r>
                  <w:r>
                    <w:rPr>
                      <w:rFonts w:hint="eastAsia" w:ascii="Times New Roman" w:hAnsi="Times New Roman" w:eastAsia="宋体" w:cs="Times New Roman"/>
                      <w:spacing w:val="0"/>
                      <w:position w:val="0"/>
                      <w:sz w:val="21"/>
                      <w:szCs w:val="21"/>
                      <w:highlight w:val="none"/>
                      <w:lang w:val="en-US" w:eastAsia="zh-CN"/>
                    </w:rPr>
                    <w:t>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26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eastAsia="zh-CN"/>
                    </w:rPr>
                  </w:pPr>
                  <w:r>
                    <w:rPr>
                      <w:rFonts w:hint="default" w:ascii="Times New Roman" w:hAnsi="Times New Roman" w:eastAsia="宋体" w:cs="Times New Roman"/>
                      <w:spacing w:val="0"/>
                      <w:position w:val="0"/>
                      <w:sz w:val="21"/>
                      <w:szCs w:val="21"/>
                      <w:highlight w:val="none"/>
                    </w:rPr>
                    <w:t>0.2</w:t>
                  </w:r>
                  <w:r>
                    <w:rPr>
                      <w:rFonts w:hint="eastAsia" w:ascii="Times New Roman" w:hAnsi="Times New Roman" w:eastAsia="宋体" w:cs="Times New Roman"/>
                      <w:spacing w:val="0"/>
                      <w:position w:val="0"/>
                      <w:sz w:val="21"/>
                      <w:szCs w:val="21"/>
                      <w:highlight w:val="none"/>
                      <w:lang w:val="en-US" w:eastAsia="zh-CN"/>
                    </w:rPr>
                    <w:t>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WF1192403061401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28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32</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28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29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WF1192403071401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28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2#厂址（下风向）西侧10m处</w:t>
                  </w: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WF1192403062101</w:t>
                  </w:r>
                </w:p>
              </w:tc>
              <w:tc>
                <w:tcPr>
                  <w:tcW w:w="502" w:type="pct"/>
                  <w:vMerge w:val="restart"/>
                  <w:tcBorders>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WF1192403062201</w:t>
                  </w:r>
                </w:p>
              </w:tc>
              <w:tc>
                <w:tcPr>
                  <w:tcW w:w="502" w:type="pct"/>
                  <w:vMerge w:val="continue"/>
                  <w:tcBorders>
                    <w:top w:val="nil"/>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bottom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0.7</w:t>
                  </w:r>
                  <w:r>
                    <w:rPr>
                      <w:rFonts w:hint="eastAsia" w:ascii="Times New Roman" w:hAnsi="Times New Roman" w:eastAsia="宋体" w:cs="Times New Roman"/>
                      <w:spacing w:val="0"/>
                      <w:position w:val="0"/>
                      <w:sz w:val="21"/>
                      <w:szCs w:val="21"/>
                      <w:highlight w:val="none"/>
                      <w:lang w:val="en-US" w:eastAsia="zh-CN"/>
                    </w:rPr>
                    <w:t>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72</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WF1192403062401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eastAsia="zh-CN"/>
                    </w:rPr>
                  </w:pPr>
                  <w:r>
                    <w:rPr>
                      <w:rFonts w:hint="default" w:ascii="Times New Roman" w:hAnsi="Times New Roman" w:eastAsia="宋体" w:cs="Times New Roman"/>
                      <w:spacing w:val="0"/>
                      <w:position w:val="0"/>
                      <w:sz w:val="21"/>
                      <w:szCs w:val="21"/>
                      <w:highlight w:val="none"/>
                    </w:rPr>
                    <w:t>0.8</w:t>
                  </w:r>
                  <w:r>
                    <w:rPr>
                      <w:rFonts w:hint="eastAsia" w:ascii="Times New Roman" w:hAnsi="Times New Roman" w:eastAsia="宋体" w:cs="Times New Roman"/>
                      <w:spacing w:val="0"/>
                      <w:position w:val="0"/>
                      <w:sz w:val="21"/>
                      <w:szCs w:val="21"/>
                      <w:highlight w:val="none"/>
                      <w:lang w:val="en-US" w:eastAsia="zh-CN"/>
                    </w:rPr>
                    <w:t>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tcBorders>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WF1192403072401</w:t>
                  </w:r>
                </w:p>
              </w:tc>
              <w:tc>
                <w:tcPr>
                  <w:tcW w:w="502" w:type="pct"/>
                  <w:vMerge w:val="continue"/>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3#厂址（下风向）西北侧10m 处</w:t>
                  </w: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0.6</w:t>
                  </w:r>
                  <w:r>
                    <w:rPr>
                      <w:rFonts w:hint="eastAsia" w:ascii="Times New Roman" w:hAnsi="Times New Roman" w:eastAsia="宋体" w:cs="Times New Roman"/>
                      <w:spacing w:val="0"/>
                      <w:position w:val="0"/>
                      <w:sz w:val="21"/>
                      <w:szCs w:val="21"/>
                      <w:highlight w:val="none"/>
                      <w:lang w:val="en-US" w:eastAsia="zh-CN"/>
                    </w:rPr>
                    <w:t>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71"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WF1192403063401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WF1192403073101</w:t>
                  </w:r>
                </w:p>
              </w:tc>
              <w:tc>
                <w:tcPr>
                  <w:tcW w:w="502" w:type="pct"/>
                  <w:vMerge w:val="restart"/>
                  <w:tcBorders>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58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WF1192403073401</w:t>
                  </w:r>
                </w:p>
              </w:tc>
              <w:tc>
                <w:tcPr>
                  <w:tcW w:w="502" w:type="pct"/>
                  <w:vMerge w:val="continue"/>
                  <w:tcBorders>
                    <w:top w:val="nil"/>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bottom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64</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4#厂址（下风向）北侧10m 处</w:t>
                  </w: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0.66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70</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WF1192403064401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0.6</w:t>
                  </w:r>
                  <w:r>
                    <w:rPr>
                      <w:rFonts w:hint="eastAsia" w:ascii="Times New Roman" w:hAnsi="Times New Roman" w:eastAsia="宋体" w:cs="Times New Roman"/>
                      <w:spacing w:val="0"/>
                      <w:position w:val="0"/>
                      <w:sz w:val="21"/>
                      <w:szCs w:val="21"/>
                      <w:highlight w:val="none"/>
                      <w:lang w:val="en-US" w:eastAsia="zh-CN"/>
                    </w:rPr>
                    <w:t>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66</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WF1192403074201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62</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WF1192403074301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71</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99"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WF1192403074401</w:t>
                  </w:r>
                </w:p>
              </w:tc>
              <w:tc>
                <w:tcPr>
                  <w:tcW w:w="502" w:type="pct"/>
                  <w:vMerge w:val="continue"/>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mg/m</w:t>
                  </w:r>
                  <w:r>
                    <w:rPr>
                      <w:rFonts w:hint="default" w:ascii="Times New Roman" w:hAnsi="Times New Roman" w:eastAsia="宋体" w:cs="Times New Roman"/>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0.</w:t>
                  </w:r>
                  <w:r>
                    <w:rPr>
                      <w:rFonts w:hint="eastAsia" w:ascii="Times New Roman" w:hAnsi="Times New Roman" w:eastAsia="宋体" w:cs="Times New Roman"/>
                      <w:spacing w:val="0"/>
                      <w:position w:val="0"/>
                      <w:sz w:val="21"/>
                      <w:szCs w:val="21"/>
                      <w:highlight w:val="none"/>
                      <w:lang w:val="en-US" w:eastAsia="zh-CN"/>
                    </w:rPr>
                    <w:t>68</w:t>
                  </w:r>
                </w:p>
              </w:tc>
              <w:tc>
                <w:tcPr>
                  <w:tcW w:w="445" w:type="pct"/>
                  <w:vMerge w:val="continue"/>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restar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5#油气回收系统排气筒</w:t>
                  </w:r>
                </w:p>
              </w:tc>
              <w:tc>
                <w:tcPr>
                  <w:tcW w:w="1127"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WF1192403065101</w:t>
                  </w:r>
                </w:p>
              </w:tc>
              <w:tc>
                <w:tcPr>
                  <w:tcW w:w="502" w:type="pct"/>
                  <w:vMerge w:val="restar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3月6日</w:t>
                  </w:r>
                </w:p>
              </w:tc>
              <w:tc>
                <w:tcPr>
                  <w:tcW w:w="545" w:type="pct"/>
                  <w:tcBorders>
                    <w:top w:val="single" w:color="auto" w:sz="4" w:space="0"/>
                    <w:left w:val="single" w:color="auto" w:sz="4" w:space="0"/>
                    <w:bottom w:val="single" w:color="auto" w:sz="4" w:space="0"/>
                    <w:right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第一次</w:t>
                  </w:r>
                </w:p>
              </w:tc>
              <w:tc>
                <w:tcPr>
                  <w:tcW w:w="601"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68</w:t>
                  </w:r>
                </w:p>
              </w:tc>
              <w:tc>
                <w:tcPr>
                  <w:tcW w:w="445" w:type="pct"/>
                  <w:vMerge w:val="restart"/>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single" w:color="auto" w:sz="4" w:space="0"/>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WF1192403065201</w:t>
                  </w:r>
                </w:p>
              </w:tc>
              <w:tc>
                <w:tcPr>
                  <w:tcW w:w="502" w:type="pct"/>
                  <w:vMerge w:val="continue"/>
                  <w:tcBorders>
                    <w:top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tcBorders>
                    <w:top w:val="single" w:color="auto" w:sz="4" w:space="0"/>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第二次</w:t>
                  </w:r>
                </w:p>
              </w:tc>
              <w:tc>
                <w:tcPr>
                  <w:tcW w:w="601"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67</w:t>
                  </w:r>
                </w:p>
              </w:tc>
              <w:tc>
                <w:tcPr>
                  <w:tcW w:w="445" w:type="pct"/>
                  <w:vMerge w:val="continue"/>
                  <w:tcBorders>
                    <w:top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65</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WF1192403065401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61</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WF1192403075101</w:t>
                  </w:r>
                </w:p>
              </w:tc>
              <w:tc>
                <w:tcPr>
                  <w:tcW w:w="502" w:type="pct"/>
                  <w:vMerge w:val="restart"/>
                  <w:tcBorders>
                    <w:bottom w:val="nil"/>
                  </w:tcBorders>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3月7日</w:t>
                  </w: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第一次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84</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WF1192403075201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第二次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0.88</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WF1192403075301</w:t>
                  </w:r>
                </w:p>
              </w:tc>
              <w:tc>
                <w:tcPr>
                  <w:tcW w:w="502" w:type="pct"/>
                  <w:vMerge w:val="continue"/>
                  <w:tcBorders>
                    <w:top w:val="nil"/>
                    <w:bottom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第三次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79</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98"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99" w:type="pct"/>
                  <w:vMerge w:val="continue"/>
                  <w:tcBorders>
                    <w:top w:val="nil"/>
                    <w:lef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1127"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WF1192403075401</w:t>
                  </w:r>
                </w:p>
              </w:tc>
              <w:tc>
                <w:tcPr>
                  <w:tcW w:w="502" w:type="pct"/>
                  <w:vMerge w:val="continue"/>
                  <w:tcBorders>
                    <w:top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p>
              </w:tc>
              <w:tc>
                <w:tcPr>
                  <w:tcW w:w="545" w:type="pct"/>
                  <w:vAlign w:val="top"/>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第四次</w:t>
                  </w:r>
                </w:p>
              </w:tc>
              <w:tc>
                <w:tcPr>
                  <w:tcW w:w="601"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rPr>
                  </w:pPr>
                  <w:r>
                    <w:rPr>
                      <w:rFonts w:hint="default" w:ascii="Times New Roman" w:hAnsi="Times New Roman" w:eastAsia="宋体" w:cs="Times New Roman"/>
                      <w:color w:val="auto"/>
                      <w:spacing w:val="0"/>
                      <w:position w:val="0"/>
                      <w:sz w:val="21"/>
                      <w:szCs w:val="21"/>
                      <w:highlight w:val="none"/>
                    </w:rPr>
                    <w:t>mg/m</w:t>
                  </w:r>
                  <w:r>
                    <w:rPr>
                      <w:rFonts w:hint="default" w:ascii="Times New Roman" w:hAnsi="Times New Roman" w:eastAsia="宋体" w:cs="Times New Roman"/>
                      <w:color w:val="auto"/>
                      <w:spacing w:val="0"/>
                      <w:position w:val="0"/>
                      <w:sz w:val="21"/>
                      <w:szCs w:val="21"/>
                      <w:highlight w:val="none"/>
                      <w:vertAlign w:val="superscript"/>
                    </w:rPr>
                    <w:t>3</w:t>
                  </w:r>
                </w:p>
              </w:tc>
              <w:tc>
                <w:tcPr>
                  <w:tcW w:w="580" w:type="pct"/>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position w:val="0"/>
                      <w:sz w:val="21"/>
                      <w:szCs w:val="21"/>
                      <w:highlight w:val="none"/>
                      <w:lang w:val="en-US" w:eastAsia="zh-CN"/>
                    </w:rPr>
                  </w:pPr>
                  <w:r>
                    <w:rPr>
                      <w:rFonts w:hint="default" w:ascii="Times New Roman" w:hAnsi="Times New Roman" w:eastAsia="宋体" w:cs="Times New Roman"/>
                      <w:color w:val="auto"/>
                      <w:spacing w:val="0"/>
                      <w:position w:val="0"/>
                      <w:sz w:val="21"/>
                      <w:szCs w:val="21"/>
                      <w:highlight w:val="none"/>
                    </w:rPr>
                    <w:t>0.</w:t>
                  </w:r>
                  <w:r>
                    <w:rPr>
                      <w:rFonts w:hint="eastAsia" w:ascii="Times New Roman" w:hAnsi="Times New Roman" w:eastAsia="宋体" w:cs="Times New Roman"/>
                      <w:color w:val="auto"/>
                      <w:spacing w:val="0"/>
                      <w:position w:val="0"/>
                      <w:sz w:val="21"/>
                      <w:szCs w:val="21"/>
                      <w:highlight w:val="none"/>
                      <w:lang w:val="en-US" w:eastAsia="zh-CN"/>
                    </w:rPr>
                    <w:t>83</w:t>
                  </w:r>
                </w:p>
              </w:tc>
              <w:tc>
                <w:tcPr>
                  <w:tcW w:w="445" w:type="pct"/>
                  <w:vMerge w:val="continue"/>
                  <w:vAlign w:val="top"/>
                </w:tcPr>
                <w:p>
                  <w:pPr>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p>
              </w:tc>
            </w:tr>
          </w:tbl>
          <w:p>
            <w:pPr>
              <w:spacing w:line="360" w:lineRule="auto"/>
              <w:ind w:firstLine="480"/>
              <w:jc w:val="both"/>
              <w:rPr>
                <w:rFonts w:hint="default" w:ascii="Times New Roman" w:hAnsi="Times New Roman" w:eastAsia="宋体" w:cs="Times New Roman"/>
                <w:b/>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由上表可知</w:t>
            </w:r>
            <w:r>
              <w:rPr>
                <w:rFonts w:hint="default" w:ascii="Times New Roman" w:hAnsi="Times New Roman" w:eastAsia="宋体" w:cs="Times New Roman"/>
                <w:color w:val="000000" w:themeColor="text1"/>
                <w:sz w:val="24"/>
                <w:szCs w:val="24"/>
                <w:highlight w:val="none"/>
                <w:vertAlign w:val="baseline"/>
                <w:lang w:eastAsia="zh-CN" w:bidi="en-US"/>
                <w14:textFill>
                  <w14:solidFill>
                    <w14:schemeClr w14:val="tx1"/>
                  </w14:solidFill>
                </w14:textFill>
              </w:rPr>
              <w:t>，项目无组织废气监测结果均能满足</w:t>
            </w:r>
            <w:r>
              <w:rPr>
                <w:rFonts w:hint="default" w:ascii="Times New Roman" w:hAnsi="Times New Roman" w:eastAsia="宋体" w:cs="Times New Roman"/>
                <w:color w:val="000000" w:themeColor="text1"/>
                <w:sz w:val="24"/>
                <w:szCs w:val="24"/>
                <w:highlight w:val="none"/>
                <w:lang w:bidi="en-US"/>
                <w14:textFill>
                  <w14:solidFill>
                    <w14:schemeClr w14:val="tx1"/>
                  </w14:solidFill>
                </w14:textFill>
              </w:rPr>
              <w:t>《加油站大气污染物排放标准》（GB</w:t>
            </w:r>
            <w:r>
              <w:rPr>
                <w:rFonts w:hint="eastAsia" w:ascii="Times New Roman" w:hAnsi="Times New Roman" w:eastAsia="宋体" w:cs="Times New Roman"/>
                <w:color w:val="000000" w:themeColor="text1"/>
                <w:sz w:val="24"/>
                <w:szCs w:val="24"/>
                <w:highlight w:val="none"/>
                <w:lang w:val="en-US" w:eastAsia="zh-CN" w:bidi="en-US"/>
                <w14:textFill>
                  <w14:solidFill>
                    <w14:schemeClr w14:val="tx1"/>
                  </w14:solidFill>
                </w14:textFill>
              </w:rPr>
              <w:t>20952</w:t>
            </w:r>
            <w:r>
              <w:rPr>
                <w:rFonts w:hint="default" w:ascii="Times New Roman" w:hAnsi="Times New Roman" w:eastAsia="宋体" w:cs="Times New Roman"/>
                <w:color w:val="000000" w:themeColor="text1"/>
                <w:sz w:val="24"/>
                <w:szCs w:val="24"/>
                <w:highlight w:val="none"/>
                <w:lang w:bidi="en-US"/>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en-US"/>
                <w14:textFill>
                  <w14:solidFill>
                    <w14:schemeClr w14:val="tx1"/>
                  </w14:solidFill>
                </w14:textFill>
              </w:rPr>
              <w:t>2020</w:t>
            </w:r>
            <w:r>
              <w:rPr>
                <w:rFonts w:hint="default" w:ascii="Times New Roman" w:hAnsi="Times New Roman" w:eastAsia="宋体" w:cs="Times New Roman"/>
                <w:color w:val="000000" w:themeColor="text1"/>
                <w:sz w:val="24"/>
                <w:szCs w:val="24"/>
                <w:highlight w:val="none"/>
                <w:lang w:bidi="en-US"/>
                <w14:textFill>
                  <w14:solidFill>
                    <w14:schemeClr w14:val="tx1"/>
                  </w14:solidFill>
                </w14:textFill>
              </w:rPr>
              <w:t>）中</w:t>
            </w:r>
            <w:r>
              <w:rPr>
                <w:rFonts w:hint="default" w:ascii="Times New Roman" w:hAnsi="Times New Roman" w:eastAsia="宋体" w:cs="Times New Roman"/>
                <w:color w:val="000000" w:themeColor="text1"/>
                <w:sz w:val="24"/>
                <w:szCs w:val="24"/>
                <w:highlight w:val="none"/>
                <w:lang w:val="en-US" w:eastAsia="zh-CN" w:bidi="en-US"/>
                <w14:textFill>
                  <w14:solidFill>
                    <w14:schemeClr w14:val="tx1"/>
                  </w14:solidFill>
                </w14:textFill>
              </w:rPr>
              <w:t>排放限值要求。</w:t>
            </w:r>
          </w:p>
          <w:p>
            <w:pPr>
              <w:spacing w:before="91" w:line="360" w:lineRule="auto"/>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14:textOutline w14:w="5103" w14:cap="sq" w14:cmpd="sng">
                  <w14:solidFill>
                    <w14:srgbClr w14:val="000000"/>
                  </w14:solidFill>
                  <w14:prstDash w14:val="solid"/>
                  <w14:bevel/>
                </w14:textOutline>
              </w:rPr>
              <w:t>表</w:t>
            </w:r>
            <w:r>
              <w:rPr>
                <w:rFonts w:hint="eastAsia" w:ascii="Times New Roman" w:hAnsi="Times New Roman" w:eastAsia="宋体" w:cs="Times New Roman"/>
                <w:b/>
                <w:bCs/>
                <w:sz w:val="24"/>
                <w:szCs w:val="24"/>
                <w:highlight w:val="none"/>
                <w:lang w:val="en-US" w:eastAsia="zh-CN"/>
              </w:rPr>
              <w:t>7</w:t>
            </w:r>
            <w:r>
              <w:rPr>
                <w:rFonts w:hint="default" w:ascii="Times New Roman" w:hAnsi="Times New Roman" w:eastAsia="宋体" w:cs="Times New Roman"/>
                <w:b/>
                <w:bCs/>
                <w:sz w:val="24"/>
                <w:szCs w:val="24"/>
                <w:highlight w:val="none"/>
              </w:rPr>
              <w:t xml:space="preserve">-3    </w:t>
            </w:r>
            <w:r>
              <w:rPr>
                <w:rFonts w:hint="default" w:ascii="Times New Roman" w:hAnsi="Times New Roman" w:eastAsia="宋体" w:cs="Times New Roman"/>
                <w:sz w:val="24"/>
                <w:szCs w:val="24"/>
                <w:highlight w:val="none"/>
                <w14:textOutline w14:w="5103" w14:cap="sq" w14:cmpd="sng">
                  <w14:solidFill>
                    <w14:srgbClr w14:val="000000"/>
                  </w14:solidFill>
                  <w14:prstDash w14:val="solid"/>
                  <w14:bevel/>
                </w14:textOutline>
              </w:rPr>
              <w:t>地下水监测结果统计表</w:t>
            </w:r>
          </w:p>
          <w:p>
            <w:pPr>
              <w:spacing w:line="119" w:lineRule="exact"/>
              <w:rPr>
                <w:highlight w:val="none"/>
              </w:rPr>
            </w:pPr>
          </w:p>
          <w:tbl>
            <w:tblPr>
              <w:tblStyle w:val="66"/>
              <w:tblW w:w="4990"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853"/>
              <w:gridCol w:w="26"/>
              <w:gridCol w:w="1907"/>
              <w:gridCol w:w="1086"/>
              <w:gridCol w:w="1128"/>
              <w:gridCol w:w="844"/>
              <w:gridCol w:w="688"/>
              <w:gridCol w:w="887"/>
              <w:gridCol w:w="35"/>
              <w:gridCol w:w="28"/>
              <w:gridCol w:w="7"/>
              <w:gridCol w:w="735"/>
              <w:gridCol w:w="65"/>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点位名称 及编号</w:t>
                  </w:r>
                </w:p>
              </w:tc>
              <w:tc>
                <w:tcPr>
                  <w:tcW w:w="116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样品编号</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监测项目</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计量单位</w:t>
                  </w:r>
                </w:p>
              </w:tc>
              <w:tc>
                <w:tcPr>
                  <w:tcW w:w="5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采样日期</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频次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检测</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结果</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0.146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11</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0.149</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388</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0.151</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226.3</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47.8</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0.121</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4"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226.9</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0.121</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7.2</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 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0.157</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227.1</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0.91</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17</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0.159</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226.9</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1#厂区内 监控井</w:t>
                  </w:r>
                  <w:r>
                    <w:rPr>
                      <w:rFonts w:hint="eastAsia" w:ascii="Times New Roman" w:hAnsi="Times New Roman" w:cs="Times New Roman"/>
                      <w:spacing w:val="0"/>
                      <w:position w:val="0"/>
                      <w:sz w:val="21"/>
                      <w:szCs w:val="21"/>
                      <w:highlight w:val="none"/>
                      <w:lang w:val="en-US" w:eastAsia="zh-CN"/>
                    </w:rPr>
                    <w:t>(A站)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0.162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226.7</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388</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0.123</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(A站)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0.165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48.3</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0.91</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14</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62"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4960" w:type="pct"/>
                  <w:gridSpan w:val="1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备注：“L”所示数据低于最低检出限。</w:t>
                  </w:r>
                </w:p>
              </w:tc>
            </w:tr>
          </w:tbl>
          <w:p>
            <w:pPr>
              <w:spacing w:before="91" w:line="360" w:lineRule="auto"/>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14:textOutline w14:w="5103" w14:cap="sq" w14:cmpd="sng">
                  <w14:solidFill>
                    <w14:srgbClr w14:val="000000"/>
                  </w14:solidFill>
                  <w14:prstDash w14:val="solid"/>
                  <w14:bevel/>
                </w14:textOutline>
              </w:rPr>
              <w:t>表</w:t>
            </w:r>
            <w:r>
              <w:rPr>
                <w:rFonts w:hint="eastAsia" w:ascii="Times New Roman" w:hAnsi="Times New Roman" w:eastAsia="宋体" w:cs="Times New Roman"/>
                <w:b/>
                <w:bCs/>
                <w:sz w:val="24"/>
                <w:szCs w:val="24"/>
                <w:highlight w:val="none"/>
                <w:lang w:val="en-US" w:eastAsia="zh-CN"/>
              </w:rPr>
              <w:t>7</w:t>
            </w:r>
            <w:r>
              <w:rPr>
                <w:rFonts w:hint="default" w:ascii="Times New Roman" w:hAnsi="Times New Roman"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4</w:t>
            </w:r>
            <w:r>
              <w:rPr>
                <w:rFonts w:hint="default" w:ascii="Times New Roman" w:hAnsi="Times New Roman" w:eastAsia="宋体" w:cs="Times New Roman"/>
                <w:b/>
                <w:bCs/>
                <w:sz w:val="24"/>
                <w:szCs w:val="24"/>
                <w:highlight w:val="none"/>
              </w:rPr>
              <w:t xml:space="preserve">   </w:t>
            </w:r>
            <w:r>
              <w:rPr>
                <w:rFonts w:hint="default" w:ascii="Times New Roman" w:hAnsi="Times New Roman" w:eastAsia="宋体" w:cs="Times New Roman"/>
                <w:sz w:val="24"/>
                <w:szCs w:val="24"/>
                <w:highlight w:val="none"/>
                <w14:textOutline w14:w="5103" w14:cap="sq" w14:cmpd="sng">
                  <w14:solidFill>
                    <w14:srgbClr w14:val="000000"/>
                  </w14:solidFill>
                  <w14:prstDash w14:val="solid"/>
                  <w14:bevel/>
                </w14:textOutline>
              </w:rPr>
              <w:t>地下水监测结果统计表</w:t>
            </w:r>
          </w:p>
          <w:p>
            <w:pPr>
              <w:spacing w:line="119" w:lineRule="exact"/>
              <w:rPr>
                <w:highlight w:val="none"/>
              </w:rPr>
            </w:pPr>
          </w:p>
          <w:tbl>
            <w:tblPr>
              <w:tblStyle w:val="66"/>
              <w:tblW w:w="4990"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853"/>
              <w:gridCol w:w="26"/>
              <w:gridCol w:w="1907"/>
              <w:gridCol w:w="1086"/>
              <w:gridCol w:w="1128"/>
              <w:gridCol w:w="844"/>
              <w:gridCol w:w="688"/>
              <w:gridCol w:w="887"/>
              <w:gridCol w:w="35"/>
              <w:gridCol w:w="28"/>
              <w:gridCol w:w="7"/>
              <w:gridCol w:w="735"/>
              <w:gridCol w:w="65"/>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点位名称 及编号</w:t>
                  </w:r>
                </w:p>
              </w:tc>
              <w:tc>
                <w:tcPr>
                  <w:tcW w:w="116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样品编号</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监测项目</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计量单位</w:t>
                  </w:r>
                </w:p>
              </w:tc>
              <w:tc>
                <w:tcPr>
                  <w:tcW w:w="50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采样日期</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频次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检测</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结果</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0.146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11</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7.2</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0.149</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388</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0.151</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226.3</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47.8</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0.121</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4"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73"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4"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3月6日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226.9</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47.7</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0.121</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16</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8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15"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6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DX1192403061411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77"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8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7.2</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 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0.157</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227.1</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0.91</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17</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DX1192403071111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第一次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0.159</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226.9</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总固体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DX1192403071211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第二次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1#厂区内 监控井</w:t>
                  </w:r>
                  <w:r>
                    <w:rPr>
                      <w:rFonts w:hint="eastAsia" w:ascii="Times New Roman" w:hAnsi="Times New Roman" w:cs="Times New Roman"/>
                      <w:spacing w:val="0"/>
                      <w:position w:val="0"/>
                      <w:sz w:val="21"/>
                      <w:szCs w:val="21"/>
                      <w:highlight w:val="none"/>
                      <w:lang w:val="en-US" w:eastAsia="zh-CN"/>
                    </w:rPr>
                    <w:t>(B站)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0.162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226.7</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388</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12.4</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0.123</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0.92</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3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522"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501" w:type="pct"/>
                  <w:gridSpan w:val="4"/>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DX1192403071311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第三次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50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厂区内监</w:t>
                  </w:r>
                </w:p>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控井</w:t>
                  </w:r>
                  <w:r>
                    <w:rPr>
                      <w:rFonts w:hint="eastAsia" w:ascii="Times New Roman" w:hAnsi="Times New Roman" w:cs="Times New Roman"/>
                      <w:spacing w:val="0"/>
                      <w:position w:val="0"/>
                      <w:sz w:val="21"/>
                      <w:szCs w:val="21"/>
                      <w:highlight w:val="none"/>
                      <w:lang w:val="en-US" w:eastAsia="zh-CN"/>
                    </w:rPr>
                    <w:t>(B站)</w:t>
                  </w: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pH 值</w:t>
                  </w:r>
                </w:p>
              </w:tc>
              <w:tc>
                <w:tcPr>
                  <w:tcW w:w="68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无量纲</w:t>
                  </w:r>
                </w:p>
              </w:tc>
              <w:tc>
                <w:tcPr>
                  <w:tcW w:w="50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3月7日</w:t>
                  </w: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7.3</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6.5-8.5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氨氮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0.165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DX1192403071409</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总硬度</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226.5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溶解性总固 体</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硫酸盐</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48.3</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氯化物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12.5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氟化物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0.125</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DX1192403071405</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亚硝酸盐氮</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0.016L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DX1192403071406</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六价铬</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DX1192403071407</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挥发酚</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DX1192403071408</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氰化物</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汞</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0.00004L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DX1192403071404</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砷</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0.0003L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镉</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0.0001L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0.005</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铅</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0.001L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铁</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0.3</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DX1192403071403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0.004</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0.10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DX1192403071410</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耗氧量</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0.91</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菌落总数</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CFU/mL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14</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100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DX1192403071413</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总大肠菌群</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MPN/100mL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未检出</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DX1192403071412</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石油类</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0.01L</w:t>
                  </w:r>
                </w:p>
              </w:tc>
              <w:tc>
                <w:tcPr>
                  <w:tcW w:w="462" w:type="pct"/>
                  <w:gridSpan w:val="3"/>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0.01</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531"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115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DX1192403071411</w:t>
                  </w:r>
                </w:p>
              </w:tc>
              <w:tc>
                <w:tcPr>
                  <w:tcW w:w="65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甲苯</w:t>
                  </w:r>
                </w:p>
              </w:tc>
              <w:tc>
                <w:tcPr>
                  <w:tcW w:w="68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mg/L</w:t>
                  </w:r>
                </w:p>
              </w:tc>
              <w:tc>
                <w:tcPr>
                  <w:tcW w:w="50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p>
              </w:tc>
              <w:tc>
                <w:tcPr>
                  <w:tcW w:w="415"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第四次</w:t>
                  </w:r>
                </w:p>
              </w:tc>
              <w:tc>
                <w:tcPr>
                  <w:tcW w:w="5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0.002L</w:t>
                  </w:r>
                </w:p>
              </w:tc>
              <w:tc>
                <w:tcPr>
                  <w:tcW w:w="462"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0.7</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gridAfter w:val="1"/>
                <w:wAfter w:w="39" w:type="pct"/>
                <w:trHeight w:val="454" w:hRule="atLeast"/>
                <w:jc w:val="center"/>
              </w:trPr>
              <w:tc>
                <w:tcPr>
                  <w:tcW w:w="4960" w:type="pct"/>
                  <w:gridSpan w:val="1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备注：“L”所示数据低于最低检出限。</w:t>
                  </w:r>
                </w:p>
              </w:tc>
            </w:tr>
          </w:tbl>
          <w:p>
            <w:pPr>
              <w:pStyle w:val="21"/>
              <w:spacing w:line="360" w:lineRule="auto"/>
              <w:ind w:left="0" w:leftChars="0"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由监测结果可知，</w:t>
            </w:r>
            <w:r>
              <w:rPr>
                <w:rFonts w:hint="default" w:ascii="Times New Roman" w:hAnsi="Times New Roman" w:eastAsia="宋体" w:cs="Times New Roman"/>
                <w:color w:val="000000" w:themeColor="text1"/>
                <w:sz w:val="24"/>
                <w:szCs w:val="24"/>
                <w:highlight w:val="none"/>
                <w14:textFill>
                  <w14:solidFill>
                    <w14:schemeClr w14:val="tx1"/>
                  </w14:solidFill>
                </w14:textFill>
              </w:rPr>
              <w:t>各监测因子质量浓度均满足</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《地下水质量标准》（GB/T 14848-2017）表1中Ⅲ类标准要求。</w:t>
            </w:r>
          </w:p>
          <w:p>
            <w:pPr>
              <w:spacing w:before="91" w:line="212" w:lineRule="auto"/>
              <w:jc w:val="center"/>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5</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b/>
                <w:bCs/>
                <w:spacing w:val="0"/>
                <w:sz w:val="24"/>
                <w:szCs w:val="24"/>
                <w:highlight w:val="none"/>
                <w:lang w:val="en-US" w:eastAsia="zh-CN"/>
              </w:rPr>
              <w:t xml:space="preserve">     </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噪声测量结果汇总表</w:t>
            </w:r>
          </w:p>
          <w:tbl>
            <w:tblPr>
              <w:tblStyle w:val="66"/>
              <w:tblW w:w="4992"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58"/>
              <w:gridCol w:w="2333"/>
              <w:gridCol w:w="1069"/>
              <w:gridCol w:w="710"/>
              <w:gridCol w:w="717"/>
              <w:gridCol w:w="712"/>
              <w:gridCol w:w="715"/>
              <w:gridCol w:w="531"/>
              <w:gridCol w:w="548"/>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983" w:type="pct"/>
                  <w:gridSpan w:val="2"/>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监测点名称及编号</w:t>
                  </w:r>
                </w:p>
              </w:tc>
              <w:tc>
                <w:tcPr>
                  <w:tcW w:w="644"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计量单位</w:t>
                  </w:r>
                </w:p>
              </w:tc>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2024-3-6</w:t>
                  </w:r>
                </w:p>
              </w:tc>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2024-3-7</w:t>
                  </w:r>
                </w:p>
              </w:tc>
              <w:tc>
                <w:tcPr>
                  <w:tcW w:w="65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983"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64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42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43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c>
                <w:tcPr>
                  <w:tcW w:w="42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431"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c>
                <w:tcPr>
                  <w:tcW w:w="32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32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77"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A站</w:t>
                  </w:r>
                </w:p>
              </w:tc>
              <w:tc>
                <w:tcPr>
                  <w:tcW w:w="140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1#厂界东侧外1m处</w:t>
                  </w:r>
                </w:p>
              </w:tc>
              <w:tc>
                <w:tcPr>
                  <w:tcW w:w="64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50.4</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38.2</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50.7</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37.8</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77"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0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2#厂界南侧外1m处</w:t>
                  </w:r>
                </w:p>
              </w:tc>
              <w:tc>
                <w:tcPr>
                  <w:tcW w:w="64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49.6</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38.1</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50.3</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38.3</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77"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0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3#厂界西侧外1m处</w:t>
                  </w:r>
                </w:p>
              </w:tc>
              <w:tc>
                <w:tcPr>
                  <w:tcW w:w="64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49.7</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37.7</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49.5</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37.7</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77"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06"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4#厂界北侧外1m处</w:t>
                  </w:r>
                </w:p>
              </w:tc>
              <w:tc>
                <w:tcPr>
                  <w:tcW w:w="644"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50.3</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38.6</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49.8</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38.0</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bl>
          <w:p>
            <w:pPr>
              <w:spacing w:before="91" w:line="212" w:lineRule="auto"/>
              <w:jc w:val="center"/>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表</w:t>
            </w:r>
            <w:r>
              <w:rPr>
                <w:rFonts w:hint="default"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6</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b/>
                <w:bCs/>
                <w:spacing w:val="0"/>
                <w:sz w:val="24"/>
                <w:szCs w:val="24"/>
                <w:highlight w:val="none"/>
                <w:lang w:val="en-US" w:eastAsia="zh-CN"/>
              </w:rPr>
              <w:t xml:space="preserve">     </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spacing w:val="0"/>
                <w:sz w:val="24"/>
                <w:szCs w:val="24"/>
                <w:highlight w:val="none"/>
                <w14:textOutline w14:w="5103" w14:cap="sq" w14:cmpd="sng">
                  <w14:solidFill>
                    <w14:srgbClr w14:val="000000"/>
                  </w14:solidFill>
                  <w14:prstDash w14:val="solid"/>
                  <w14:bevel/>
                </w14:textOutline>
              </w:rPr>
              <w:t>噪声测量结果汇总表</w:t>
            </w:r>
          </w:p>
          <w:tbl>
            <w:tblPr>
              <w:tblStyle w:val="66"/>
              <w:tblW w:w="4991"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42"/>
              <w:gridCol w:w="2389"/>
              <w:gridCol w:w="1027"/>
              <w:gridCol w:w="710"/>
              <w:gridCol w:w="717"/>
              <w:gridCol w:w="712"/>
              <w:gridCol w:w="715"/>
              <w:gridCol w:w="531"/>
              <w:gridCol w:w="548"/>
            </w:tblGrid>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2008" w:type="pct"/>
                  <w:gridSpan w:val="2"/>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监测点名称及编号</w:t>
                  </w:r>
                </w:p>
              </w:tc>
              <w:tc>
                <w:tcPr>
                  <w:tcW w:w="619" w:type="pct"/>
                  <w:vMerge w:val="restart"/>
                  <w:tcBorders>
                    <w:bottom w:val="nil"/>
                  </w:tcBorders>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计量单位</w:t>
                  </w:r>
                </w:p>
              </w:tc>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2024-3-6</w:t>
                  </w:r>
                </w:p>
              </w:tc>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2024-3-7</w:t>
                  </w:r>
                </w:p>
              </w:tc>
              <w:tc>
                <w:tcPr>
                  <w:tcW w:w="650" w:type="pct"/>
                  <w:gridSpan w:val="2"/>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标准限值</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2008"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61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428"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432"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c>
                <w:tcPr>
                  <w:tcW w:w="42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431"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c>
                <w:tcPr>
                  <w:tcW w:w="320"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昼间</w:t>
                  </w:r>
                </w:p>
              </w:tc>
              <w:tc>
                <w:tcPr>
                  <w:tcW w:w="32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夜间</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68" w:type="pct"/>
                  <w:vMerge w:val="restar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cs="Times New Roman"/>
                      <w:spacing w:val="0"/>
                      <w:position w:val="0"/>
                      <w:sz w:val="21"/>
                      <w:szCs w:val="21"/>
                      <w:highlight w:val="none"/>
                      <w:lang w:val="en-US" w:eastAsia="zh-CN"/>
                    </w:rPr>
                    <w:t>B站</w:t>
                  </w:r>
                </w:p>
              </w:tc>
              <w:tc>
                <w:tcPr>
                  <w:tcW w:w="14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1#厂界东侧外1m处</w:t>
                  </w:r>
                </w:p>
              </w:tc>
              <w:tc>
                <w:tcPr>
                  <w:tcW w:w="61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49.0</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37.3</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50.</w:t>
                  </w:r>
                  <w:r>
                    <w:rPr>
                      <w:rFonts w:hint="eastAsia" w:ascii="Times New Roman" w:hAnsi="Times New Roman" w:eastAsia="宋体" w:cs="Times New Roman"/>
                      <w:spacing w:val="0"/>
                      <w:position w:val="0"/>
                      <w:sz w:val="21"/>
                      <w:szCs w:val="21"/>
                      <w:highlight w:val="none"/>
                      <w:lang w:val="en-US" w:eastAsia="zh-CN"/>
                    </w:rPr>
                    <w:t>1</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37.</w:t>
                  </w:r>
                  <w:r>
                    <w:rPr>
                      <w:rFonts w:hint="eastAsia" w:ascii="Times New Roman" w:hAnsi="Times New Roman" w:eastAsia="宋体" w:cs="Times New Roman"/>
                      <w:spacing w:val="0"/>
                      <w:position w:val="0"/>
                      <w:sz w:val="21"/>
                      <w:szCs w:val="21"/>
                      <w:highlight w:val="none"/>
                      <w:lang w:val="en-US" w:eastAsia="zh-CN"/>
                    </w:rPr>
                    <w:t>4</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68"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2#厂界南侧外1m处</w:t>
                  </w:r>
                </w:p>
              </w:tc>
              <w:tc>
                <w:tcPr>
                  <w:tcW w:w="61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49.</w:t>
                  </w:r>
                  <w:r>
                    <w:rPr>
                      <w:rFonts w:hint="eastAsia" w:ascii="Times New Roman" w:hAnsi="Times New Roman" w:eastAsia="宋体" w:cs="Times New Roman"/>
                      <w:spacing w:val="0"/>
                      <w:position w:val="0"/>
                      <w:sz w:val="21"/>
                      <w:szCs w:val="21"/>
                      <w:highlight w:val="none"/>
                      <w:lang w:val="en-US" w:eastAsia="zh-CN"/>
                    </w:rPr>
                    <w:t>0</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37.8</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49.5</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37.7</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68"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3#厂界西侧外1m处</w:t>
                  </w:r>
                </w:p>
              </w:tc>
              <w:tc>
                <w:tcPr>
                  <w:tcW w:w="61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50.3</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38.2</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50.4</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38.0</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r>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568" w:type="pct"/>
                  <w:vMerge w:val="continue"/>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p>
              </w:tc>
              <w:tc>
                <w:tcPr>
                  <w:tcW w:w="143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4#厂界北侧外1m处</w:t>
                  </w:r>
                </w:p>
              </w:tc>
              <w:tc>
                <w:tcPr>
                  <w:tcW w:w="619" w:type="pct"/>
                  <w:vAlign w:val="center"/>
                </w:tcPr>
                <w:p>
                  <w:pPr>
                    <w:pStyle w:val="65"/>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dB（A）</w:t>
                  </w:r>
                </w:p>
              </w:tc>
              <w:tc>
                <w:tcPr>
                  <w:tcW w:w="42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49.7</w:t>
                  </w:r>
                </w:p>
              </w:tc>
              <w:tc>
                <w:tcPr>
                  <w:tcW w:w="43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37.5</w:t>
                  </w:r>
                </w:p>
              </w:tc>
              <w:tc>
                <w:tcPr>
                  <w:tcW w:w="4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eastAsia" w:ascii="Times New Roman" w:hAnsi="Times New Roman" w:eastAsia="宋体" w:cs="Times New Roman"/>
                      <w:spacing w:val="0"/>
                      <w:position w:val="0"/>
                      <w:sz w:val="21"/>
                      <w:szCs w:val="21"/>
                      <w:highlight w:val="none"/>
                      <w:lang w:val="en-US" w:eastAsia="zh-CN"/>
                    </w:rPr>
                    <w:t>50.2</w:t>
                  </w:r>
                </w:p>
              </w:tc>
              <w:tc>
                <w:tcPr>
                  <w:tcW w:w="43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lang w:val="en-US" w:eastAsia="zh-CN"/>
                    </w:rPr>
                  </w:pPr>
                  <w:r>
                    <w:rPr>
                      <w:rFonts w:hint="default" w:ascii="Times New Roman" w:hAnsi="Times New Roman" w:eastAsia="宋体" w:cs="Times New Roman"/>
                      <w:spacing w:val="0"/>
                      <w:position w:val="0"/>
                      <w:sz w:val="21"/>
                      <w:szCs w:val="21"/>
                      <w:highlight w:val="none"/>
                    </w:rPr>
                    <w:t>3</w:t>
                  </w:r>
                  <w:r>
                    <w:rPr>
                      <w:rFonts w:hint="eastAsia" w:ascii="Times New Roman" w:hAnsi="Times New Roman" w:eastAsia="宋体" w:cs="Times New Roman"/>
                      <w:spacing w:val="0"/>
                      <w:position w:val="0"/>
                      <w:sz w:val="21"/>
                      <w:szCs w:val="21"/>
                      <w:highlight w:val="none"/>
                      <w:lang w:val="en-US" w:eastAsia="zh-CN"/>
                    </w:rPr>
                    <w:t>7.8</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60</w:t>
                  </w:r>
                </w:p>
              </w:tc>
              <w:tc>
                <w:tcPr>
                  <w:tcW w:w="32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0"/>
                      <w:position w:val="0"/>
                      <w:sz w:val="21"/>
                      <w:szCs w:val="21"/>
                      <w:highlight w:val="none"/>
                    </w:rPr>
                  </w:pPr>
                  <w:r>
                    <w:rPr>
                      <w:rFonts w:hint="default" w:ascii="Times New Roman" w:hAnsi="Times New Roman" w:eastAsia="宋体" w:cs="Times New Roman"/>
                      <w:spacing w:val="0"/>
                      <w:position w:val="0"/>
                      <w:sz w:val="21"/>
                      <w:szCs w:val="21"/>
                      <w:highlight w:val="none"/>
                    </w:rPr>
                    <w:t>50</w:t>
                  </w:r>
                </w:p>
              </w:tc>
            </w:tr>
          </w:tbl>
          <w:p>
            <w:pPr>
              <w:spacing w:line="360" w:lineRule="auto"/>
              <w:ind w:firstLine="480" w:firstLineChars="200"/>
              <w:jc w:val="both"/>
              <w:rPr>
                <w:rFonts w:hint="eastAsia" w:ascii="Times New Roman" w:hAnsi="宋体"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宋体" w:eastAsia="宋体" w:cs="Times New Roman"/>
                <w:b w:val="0"/>
                <w:bCs w:val="0"/>
                <w:color w:val="000000" w:themeColor="text1"/>
                <w:sz w:val="24"/>
                <w:szCs w:val="24"/>
                <w:highlight w:val="none"/>
                <w:lang w:val="en-US" w:eastAsia="zh-CN"/>
                <w14:textFill>
                  <w14:solidFill>
                    <w14:schemeClr w14:val="tx1"/>
                  </w14:solidFill>
                </w14:textFill>
              </w:rPr>
              <w:t>根据以上监测数据可知，A站本次噪声监测值昼间最大值为50.4dB（A），最小值为49.5dB（A）。夜间最大值为38.6dB（A），最小值为37.7dB（A）。B站本次噪声监测值昼间最大值为50.4dB（A），最小值为49.0dB（A）。夜间最大值为38.2dB（A），最小值为37.3dB（A）。监测值均满足《工业企业厂界环境噪声排放标准》（GB12348-2008）2类标准限值。因本项目周边200m范围的内无敏感目标，故项目实际监测期间，未对项目周边敏感点监测。</w:t>
            </w: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p>
            <w:pPr>
              <w:pStyle w:val="21"/>
              <w:ind w:left="0" w:leftChars="0" w:firstLine="0" w:firstLineChars="0"/>
              <w:rPr>
                <w:rFonts w:hint="eastAsia" w:hAnsiTheme="minorEastAsia" w:cstheme="minorEastAsia"/>
                <w:color w:val="000000" w:themeColor="text1"/>
                <w:sz w:val="24"/>
                <w:szCs w:val="24"/>
                <w:highlight w:val="none"/>
                <w:lang w:val="en-US" w:eastAsia="zh-CN"/>
                <w14:textFill>
                  <w14:solidFill>
                    <w14:schemeClr w14:val="tx1"/>
                  </w14:solidFill>
                </w14:textFill>
              </w:rPr>
            </w:pPr>
          </w:p>
        </w:tc>
      </w:tr>
    </w:tbl>
    <w:p>
      <w:pPr>
        <w:pStyle w:val="27"/>
        <w:rPr>
          <w:rFonts w:hint="eastAsia"/>
          <w:b/>
          <w:color w:val="000000" w:themeColor="text1"/>
          <w:sz w:val="28"/>
          <w:szCs w:val="28"/>
          <w:highlight w:val="none"/>
          <w:lang w:val="en-US" w:eastAsia="zh-CN"/>
          <w14:textFill>
            <w14:solidFill>
              <w14:schemeClr w14:val="tx1"/>
            </w14:solidFill>
          </w14:textFill>
        </w:rPr>
      </w:pPr>
      <w:r>
        <w:rPr>
          <w:rFonts w:hint="eastAsia"/>
          <w:b/>
          <w:color w:val="000000" w:themeColor="text1"/>
          <w:sz w:val="28"/>
          <w:szCs w:val="28"/>
          <w:highlight w:val="none"/>
          <w:lang w:val="en-US" w:eastAsia="zh-CN"/>
          <w14:textFill>
            <w14:solidFill>
              <w14:schemeClr w14:val="tx1"/>
            </w14:solidFill>
          </w14:textFill>
        </w:rPr>
        <w:t>表八</w:t>
      </w:r>
    </w:p>
    <w:tbl>
      <w:tblPr>
        <w:tblStyle w:val="23"/>
        <w:tblW w:w="8440" w:type="dxa"/>
        <w:tblInd w:w="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8" w:hRule="atLeast"/>
        </w:trPr>
        <w:tc>
          <w:tcPr>
            <w:tcW w:w="8440" w:type="dxa"/>
          </w:tcPr>
          <w:p>
            <w:pPr>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b/>
                <w:color w:val="000000" w:themeColor="text1"/>
                <w:sz w:val="24"/>
                <w:szCs w:val="24"/>
                <w:highlight w:val="none"/>
                <w14:textFill>
                  <w14:solidFill>
                    <w14:schemeClr w14:val="tx1"/>
                  </w14:solidFill>
                </w14:textFill>
              </w:rPr>
              <w:t>验收监测结论：</w:t>
            </w:r>
          </w:p>
          <w:p>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双达高速韩集（临夏县）服务区加油加气站 (AB站)项目符合国家有关环境保护法律法规，环境保护审批手续齐全，履行了环境影响评价制度，通过对该项目进行竣工环境保护验收调查及监测，得出以下结论：</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8.1项目概括</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lang w:val="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本项目加油加气站为AB两座站，两座加油加气站主要建设内容一致，A站（双达高速韩集北侧服务区内）主要建设内容包括站房1座、加油罩棚1座、加油岛4处，SF双层卧式油罐5座、1座60m</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低温卧式储罐，同时配套油气回收及处理系统、检漏系统及其他附属设施，B站建设内容与A站一致，</w:t>
            </w:r>
            <w:r>
              <w:rPr>
                <w:rFonts w:hint="default" w:ascii="Times New Roman" w:hAnsi="Times New Roman" w:eastAsia="宋体" w:cs="Times New Roman"/>
                <w:color w:val="000000" w:themeColor="text1"/>
                <w:sz w:val="24"/>
                <w:szCs w:val="24"/>
                <w:highlight w:val="none"/>
                <w:lang w:val="zh-CN"/>
                <w14:textFill>
                  <w14:solidFill>
                    <w14:schemeClr w14:val="tx1"/>
                  </w14:solidFill>
                </w14:textFill>
              </w:rPr>
              <w:t>主要从事汽油、柴油的零售服务。</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8.2声环境影响调查</w:t>
            </w:r>
          </w:p>
          <w:p>
            <w:pPr>
              <w:spacing w:line="360" w:lineRule="auto"/>
              <w:ind w:firstLine="480" w:firstLineChars="200"/>
              <w:jc w:val="both"/>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监测结果表明：</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本次噪声监测值昼间最大值为50.4dB（A），最小值为49.5dB（A）。夜间最大值为38.6dB（A），最小值为37.7dB（A）。监测值均满足《工业企业厂界环境噪声排放标准》（GB12348-2008）2类标准限值。因本项目周边200m范围的内无敏感目标，故项目实际监测期间，未对项目周边敏感点监测。</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8.3水环境影响调查</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本项目工业废水主要为油罐清洗</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油罐清洗委托有资质的单位进行专业处理并公司负责处理清洗废水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（由于该项目运行时间不久）</w:t>
            </w:r>
            <w:r>
              <w:rPr>
                <w:rFonts w:hint="default" w:ascii="Times New Roman" w:hAnsi="Times New Roman" w:eastAsia="宋体" w:cs="Times New Roman"/>
                <w:color w:val="000000" w:themeColor="text1"/>
                <w:sz w:val="24"/>
                <w:szCs w:val="24"/>
                <w:highlight w:val="none"/>
                <w14:textFill>
                  <w14:solidFill>
                    <w14:schemeClr w14:val="tx1"/>
                  </w14:solidFill>
                </w14:textFill>
              </w:rPr>
              <w:t>，对周围环境影响较小。生活废水经化粪池处理后排至服务区排水管网，对周围环境影响较小。</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8.4环境空气影响调查</w:t>
            </w:r>
          </w:p>
          <w:p>
            <w:p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为减少项目油气的排放，本项目针对卸油、大呼吸废气设置了油气一次回收系统，对于小呼吸及加油废气设置了二次油气回收系统，加油站配备了一台30m</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/h的冷凝式油气回收装置用于油气的回收，其回收率可</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达到90%，</w:t>
            </w:r>
            <w:r>
              <w:rPr>
                <w:rFonts w:hint="default" w:ascii="Times New Roman" w:hAnsi="Times New Roman" w:eastAsia="宋体" w:cs="Times New Roman"/>
                <w:color w:val="000000" w:themeColor="text1"/>
                <w:sz w:val="24"/>
                <w:szCs w:val="24"/>
                <w:highlight w:val="none"/>
                <w14:textFill>
                  <w14:solidFill>
                    <w14:schemeClr w14:val="tx1"/>
                  </w14:solidFill>
                </w14:textFill>
              </w:rPr>
              <w:t>经监测，项目厂区无组织</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非甲烷总烃</w:t>
            </w:r>
            <w:r>
              <w:rPr>
                <w:rFonts w:hint="default" w:ascii="Times New Roman" w:hAnsi="Times New Roman" w:eastAsia="宋体" w:cs="Times New Roman"/>
                <w:color w:val="000000" w:themeColor="text1"/>
                <w:sz w:val="24"/>
                <w:szCs w:val="24"/>
                <w:highlight w:val="none"/>
                <w14:textFill>
                  <w14:solidFill>
                    <w14:schemeClr w14:val="tx1"/>
                  </w14:solidFill>
                </w14:textFill>
              </w:rPr>
              <w:t>排放浓</w:t>
            </w:r>
            <w:r>
              <w:rPr>
                <w:rFonts w:hint="default" w:ascii="Times New Roman" w:hAnsi="Times New Roman" w:eastAsia="宋体" w:cs="Times New Roman"/>
                <w:color w:val="auto"/>
                <w:sz w:val="24"/>
                <w:szCs w:val="24"/>
                <w:highlight w:val="none"/>
              </w:rPr>
              <w:t>度满足《</w:t>
            </w:r>
            <w:r>
              <w:rPr>
                <w:rFonts w:hint="default" w:ascii="Times New Roman" w:hAnsi="Times New Roman" w:eastAsia="宋体" w:cs="Times New Roman"/>
                <w:color w:val="000000" w:themeColor="text1"/>
                <w:sz w:val="24"/>
                <w:szCs w:val="24"/>
                <w:highlight w:val="none"/>
                <w14:textFill>
                  <w14:solidFill>
                    <w14:schemeClr w14:val="tx1"/>
                  </w14:solidFill>
                </w14:textFill>
              </w:rPr>
              <w:t>大气污染物综合排放标准》(GB16297-1996)中无组织排放监控浓度限值，对周围环境的影响较小。</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8.5固体废物影响调查</w:t>
            </w:r>
          </w:p>
          <w:p>
            <w:pPr>
              <w:adjustRightInd w:val="0"/>
              <w:snapToGrid w:val="0"/>
              <w:spacing w:line="360" w:lineRule="auto"/>
              <w:ind w:firstLine="480" w:firstLineChars="200"/>
              <w:contextualSpacing/>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生活垃圾经集中收集，可委托</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服务区</w:t>
            </w:r>
            <w:r>
              <w:rPr>
                <w:rFonts w:hint="default" w:ascii="Times New Roman" w:hAnsi="Times New Roman" w:eastAsia="宋体" w:cs="Times New Roman"/>
                <w:color w:val="000000" w:themeColor="text1"/>
                <w:sz w:val="24"/>
                <w:szCs w:val="24"/>
                <w:highlight w:val="none"/>
                <w14:textFill>
                  <w14:solidFill>
                    <w14:schemeClr w14:val="tx1"/>
                  </w14:solidFill>
                </w14:textFill>
              </w:rPr>
              <w:t>统一收集处理，对周围环境的影响不大。油罐油渣属于HW08废矿物油类危险废物，</w:t>
            </w:r>
            <w:r>
              <w:rPr>
                <w:rFonts w:hint="default" w:ascii="Times New Roman" w:hAnsi="Times New Roman" w:eastAsia="宋体" w:cs="Times New Roman"/>
                <w:color w:val="000000" w:themeColor="text1"/>
                <w:sz w:val="24"/>
                <w:szCs w:val="24"/>
                <w:highlight w:val="none"/>
                <w:lang w:val="zh-CN"/>
                <w14:textFill>
                  <w14:solidFill>
                    <w14:schemeClr w14:val="tx1"/>
                  </w14:solidFill>
                </w14:textFill>
              </w:rPr>
              <w:t>均由</w:t>
            </w:r>
            <w:r>
              <w:rPr>
                <w:rFonts w:hint="default" w:ascii="Times New Roman" w:hAnsi="Times New Roman" w:eastAsia="宋体" w:cs="Times New Roman"/>
                <w:color w:val="000000" w:themeColor="text1"/>
                <w:sz w:val="24"/>
                <w:szCs w:val="24"/>
                <w:highlight w:val="none"/>
                <w14:textFill>
                  <w14:solidFill>
                    <w14:schemeClr w14:val="tx1"/>
                  </w14:solidFill>
                </w14:textFill>
              </w:rPr>
              <w:t>有资质的单位进行专业处理</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（由于该项目运行时间不久，且油罐清洗为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3-5年清洗一次，所以本建设单位还未委托</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），厂区内不设危废暂存间，</w:t>
            </w:r>
            <w:r>
              <w:rPr>
                <w:rFonts w:hint="default" w:ascii="Times New Roman" w:hAnsi="Times New Roman" w:eastAsia="宋体" w:cs="Times New Roman"/>
                <w:color w:val="000000" w:themeColor="text1"/>
                <w:sz w:val="24"/>
                <w:szCs w:val="24"/>
                <w:highlight w:val="none"/>
                <w14:textFill>
                  <w14:solidFill>
                    <w14:schemeClr w14:val="tx1"/>
                  </w14:solidFill>
                </w14:textFill>
              </w:rPr>
              <w:t>对周围环境影响较小。</w:t>
            </w:r>
          </w:p>
          <w:p>
            <w:pPr>
              <w:adjustRightInd w:val="0"/>
              <w:snapToGrid w:val="0"/>
              <w:spacing w:line="360" w:lineRule="auto"/>
              <w:contextualSpacing/>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t>8.6验收结论及建议</w:t>
            </w:r>
          </w:p>
          <w:p>
            <w:p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通过调查分析，双达高速韩集（临夏县）服务区加油加气站 (AB站)项目在运行过程中严格的执行了国家建设项目环境管理制度配备了相应的环保治理设施，将项目产生的环境影响降至了最低。本报告认为，双达高速韩集（临夏县）服务区加油加气站(AB站)项目在总体上达到建设项目环境保护验收的基本要求，具备项目竣工环境保护验收的基本条件，建议通过竣工环境保护验收。</w:t>
            </w:r>
          </w:p>
          <w:p>
            <w:pPr>
              <w:pStyle w:val="21"/>
              <w:spacing w:after="0" w:line="360" w:lineRule="auto"/>
              <w:ind w:firstLine="0" w:firstLineChars="0"/>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bl>
    <w:p>
      <w:pPr>
        <w:pStyle w:val="27"/>
        <w:rPr>
          <w:rFonts w:hint="default"/>
          <w:b/>
          <w:color w:val="000000" w:themeColor="text1"/>
          <w:sz w:val="28"/>
          <w:szCs w:val="28"/>
          <w:highlight w:val="none"/>
          <w:lang w:val="en-US" w:eastAsia="zh-CN"/>
          <w14:textFill>
            <w14:solidFill>
              <w14:schemeClr w14:val="tx1"/>
            </w14:solidFill>
          </w14:textFill>
        </w:rPr>
        <w:sectPr>
          <w:pgSz w:w="11906" w:h="16838"/>
          <w:pgMar w:top="1440" w:right="1531" w:bottom="1440" w:left="1531"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jc w:val="center"/>
        <w:rPr>
          <w:rFonts w:asciiTheme="minorEastAsia" w:hAnsiTheme="minorEastAsia"/>
          <w:b/>
          <w:color w:val="000000" w:themeColor="text1"/>
          <w:sz w:val="32"/>
          <w:szCs w:val="32"/>
          <w:highlight w:val="none"/>
          <w14:textFill>
            <w14:solidFill>
              <w14:schemeClr w14:val="tx1"/>
            </w14:solidFill>
          </w14:textFill>
        </w:rPr>
      </w:pPr>
      <w:r>
        <w:rPr>
          <w:rFonts w:hint="eastAsia" w:asciiTheme="minorEastAsia" w:hAnsiTheme="minorEastAsia"/>
          <w:b/>
          <w:color w:val="000000" w:themeColor="text1"/>
          <w:sz w:val="24"/>
          <w:szCs w:val="24"/>
          <w:highlight w:val="none"/>
          <w14:textFill>
            <w14:solidFill>
              <w14:schemeClr w14:val="tx1"/>
            </w14:solidFill>
          </w14:textFill>
        </w:rPr>
        <w:t>建设项目工程竣工环境保护“三同时”验收登记表</w:t>
      </w:r>
    </w:p>
    <w:p>
      <w:pP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 xml:space="preserve">填表单位（盖章）：                                  填表人（签字）： </w:t>
      </w:r>
      <w:r>
        <w:rPr>
          <w:rFonts w:hint="eastAsia"/>
          <w:color w:val="000000" w:themeColor="text1"/>
          <w:szCs w:val="21"/>
          <w:highlight w:val="none"/>
          <w:lang w:val="en-US" w:eastAsia="zh-CN"/>
          <w14:textFill>
            <w14:solidFill>
              <w14:schemeClr w14:val="tx1"/>
            </w14:solidFill>
          </w14:textFill>
        </w:rPr>
        <w:t xml:space="preserve">  </w:t>
      </w:r>
      <w:r>
        <w:rPr>
          <w:color w:val="000000" w:themeColor="text1"/>
          <w:szCs w:val="21"/>
          <w:highlight w:val="none"/>
          <w14:textFill>
            <w14:solidFill>
              <w14:schemeClr w14:val="tx1"/>
            </w14:solidFill>
          </w14:textFill>
        </w:rPr>
        <w:t xml:space="preserve">                 项目经办人（签字）：</w:t>
      </w:r>
    </w:p>
    <w:tbl>
      <w:tblPr>
        <w:tblStyle w:val="22"/>
        <w:tblW w:w="15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
        <w:gridCol w:w="1658"/>
        <w:gridCol w:w="1026"/>
        <w:gridCol w:w="1230"/>
        <w:gridCol w:w="1020"/>
        <w:gridCol w:w="855"/>
        <w:gridCol w:w="1546"/>
        <w:gridCol w:w="923"/>
        <w:gridCol w:w="1035"/>
        <w:gridCol w:w="1125"/>
        <w:gridCol w:w="1440"/>
        <w:gridCol w:w="932"/>
        <w:gridCol w:w="1348"/>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restart"/>
            <w:tcMar>
              <w:left w:w="28" w:type="dxa"/>
              <w:right w:w="28" w:type="dxa"/>
            </w:tcMar>
            <w:textDirection w:val="tbRlV"/>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r>
              <w:rPr>
                <w:rFonts w:hint="eastAsia" w:ascii="黑体" w:hAnsi="黑体" w:eastAsia="黑体" w:cs="黑体"/>
                <w:color w:val="000000" w:themeColor="text1"/>
                <w:sz w:val="15"/>
                <w:szCs w:val="15"/>
                <w:highlight w:val="none"/>
                <w14:textFill>
                  <w14:solidFill>
                    <w14:schemeClr w14:val="tx1"/>
                  </w14:solidFill>
                </w14:textFill>
              </w:rPr>
              <w:t>建 设 项 目</w:t>
            </w: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项目名称</w:t>
            </w:r>
          </w:p>
        </w:tc>
        <w:tc>
          <w:tcPr>
            <w:tcW w:w="4131" w:type="dxa"/>
            <w:gridSpan w:val="4"/>
            <w:tcMar>
              <w:left w:w="28" w:type="dxa"/>
              <w:right w:w="28" w:type="dxa"/>
            </w:tcMar>
            <w:vAlign w:val="center"/>
          </w:tcPr>
          <w:p>
            <w:pPr>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双达高速韩集（临夏县）服务区加油加气站 (AB站)项目</w:t>
            </w:r>
          </w:p>
        </w:tc>
        <w:tc>
          <w:tcPr>
            <w:tcW w:w="1546" w:type="dxa"/>
            <w:tcMar>
              <w:left w:w="28" w:type="dxa"/>
              <w:right w:w="28" w:type="dxa"/>
            </w:tcMar>
            <w:vAlign w:val="center"/>
          </w:tcPr>
          <w:p>
            <w:pPr>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项目代码</w:t>
            </w:r>
          </w:p>
        </w:tc>
        <w:tc>
          <w:tcPr>
            <w:tcW w:w="923"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F5264</w:t>
            </w:r>
          </w:p>
        </w:tc>
        <w:tc>
          <w:tcPr>
            <w:tcW w:w="2160" w:type="dxa"/>
            <w:gridSpan w:val="2"/>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建设地点</w:t>
            </w:r>
          </w:p>
        </w:tc>
        <w:tc>
          <w:tcPr>
            <w:tcW w:w="4962" w:type="dxa"/>
            <w:gridSpan w:val="4"/>
            <w:tcMar>
              <w:left w:w="28" w:type="dxa"/>
              <w:right w:w="28" w:type="dxa"/>
            </w:tcMar>
            <w:vAlign w:val="center"/>
          </w:tcPr>
          <w:p>
            <w:pPr>
              <w:snapToGrid w:val="0"/>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甘肃省临夏回族自治州韩集镇麻尼寺沟乡韩集服务区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行业类别</w:t>
            </w:r>
          </w:p>
        </w:tc>
        <w:tc>
          <w:tcPr>
            <w:tcW w:w="4131" w:type="dxa"/>
            <w:gridSpan w:val="4"/>
            <w:tcMar>
              <w:left w:w="28" w:type="dxa"/>
              <w:right w:w="28" w:type="dxa"/>
            </w:tcMar>
            <w:vAlign w:val="center"/>
          </w:tcPr>
          <w:p>
            <w:pPr>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机动车燃料零售</w:t>
            </w:r>
          </w:p>
        </w:tc>
        <w:tc>
          <w:tcPr>
            <w:tcW w:w="1546" w:type="dxa"/>
            <w:tcMar>
              <w:left w:w="28" w:type="dxa"/>
              <w:right w:w="28" w:type="dxa"/>
            </w:tcMar>
            <w:vAlign w:val="center"/>
          </w:tcPr>
          <w:p>
            <w:pPr>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建设性质</w:t>
            </w:r>
          </w:p>
        </w:tc>
        <w:tc>
          <w:tcPr>
            <w:tcW w:w="3083" w:type="dxa"/>
            <w:gridSpan w:val="3"/>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■新 建   □改 扩 建  □技 术 改 造</w:t>
            </w:r>
          </w:p>
        </w:tc>
        <w:tc>
          <w:tcPr>
            <w:tcW w:w="2372" w:type="dxa"/>
            <w:gridSpan w:val="2"/>
            <w:tcMar>
              <w:left w:w="28" w:type="dxa"/>
              <w:right w:w="28" w:type="dxa"/>
            </w:tcMar>
            <w:vAlign w:val="center"/>
          </w:tcPr>
          <w:p>
            <w:pPr>
              <w:snapToGrid w:val="0"/>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14:textFill>
                  <w14:solidFill>
                    <w14:schemeClr w14:val="tx1"/>
                  </w14:solidFill>
                </w14:textFill>
              </w:rPr>
              <w:t>项目厂区中心经度/纬度</w:t>
            </w:r>
          </w:p>
        </w:tc>
        <w:tc>
          <w:tcPr>
            <w:tcW w:w="2590" w:type="dxa"/>
            <w:gridSpan w:val="2"/>
            <w:tcMar>
              <w:left w:w="28" w:type="dxa"/>
              <w:right w:w="28" w:type="dxa"/>
            </w:tcMar>
            <w:vAlign w:val="center"/>
          </w:tcPr>
          <w:p>
            <w:pPr>
              <w:snapToGrid w:val="0"/>
              <w:jc w:val="both"/>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A站：</w:t>
            </w:r>
            <w:r>
              <w:rPr>
                <w:rFonts w:hint="default" w:ascii="Times New Roman" w:hAnsi="Times New Roman" w:eastAsia="宋体" w:cs="Times New Roman"/>
                <w:color w:val="000000" w:themeColor="text1"/>
                <w:sz w:val="15"/>
                <w:szCs w:val="15"/>
                <w:highlight w:val="none"/>
                <w14:textFill>
                  <w14:solidFill>
                    <w14:schemeClr w14:val="tx1"/>
                  </w14:solidFill>
                </w14:textFill>
              </w:rPr>
              <w:t>东经102°56′34.412″</w:t>
            </w:r>
            <w: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t>，</w:t>
            </w:r>
            <w:r>
              <w:rPr>
                <w:rFonts w:hint="default" w:ascii="Times New Roman" w:hAnsi="Times New Roman" w:eastAsia="宋体" w:cs="Times New Roman"/>
                <w:color w:val="000000" w:themeColor="text1"/>
                <w:sz w:val="15"/>
                <w:szCs w:val="15"/>
                <w:highlight w:val="none"/>
                <w14:textFill>
                  <w14:solidFill>
                    <w14:schemeClr w14:val="tx1"/>
                  </w14:solidFill>
                </w14:textFill>
              </w:rPr>
              <w:t>北纬35°29′55.040″</w:t>
            </w:r>
          </w:p>
          <w:p>
            <w:pPr>
              <w:snapToGrid w:val="0"/>
              <w:jc w:val="both"/>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B站：东经102°56′41.558″，</w:t>
            </w:r>
            <w:r>
              <w:rPr>
                <w:rFonts w:hint="default" w:ascii="Times New Roman" w:hAnsi="Times New Roman" w:eastAsia="宋体" w:cs="Times New Roman"/>
                <w:color w:val="000000" w:themeColor="text1"/>
                <w:sz w:val="15"/>
                <w:szCs w:val="15"/>
                <w:highlight w:val="none"/>
                <w14:textFill>
                  <w14:solidFill>
                    <w14:schemeClr w14:val="tx1"/>
                  </w14:solidFill>
                </w14:textFill>
              </w:rPr>
              <w:t>北纬</w:t>
            </w: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35°29′57.304″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设计年生产能力</w:t>
            </w:r>
          </w:p>
        </w:tc>
        <w:tc>
          <w:tcPr>
            <w:tcW w:w="4131" w:type="dxa"/>
            <w:gridSpan w:val="4"/>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4818t/a</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实际年生产能力</w:t>
            </w:r>
          </w:p>
        </w:tc>
        <w:tc>
          <w:tcPr>
            <w:tcW w:w="923" w:type="dxa"/>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600t/a</w:t>
            </w:r>
          </w:p>
        </w:tc>
        <w:tc>
          <w:tcPr>
            <w:tcW w:w="2160" w:type="dxa"/>
            <w:gridSpan w:val="2"/>
            <w:tcMar>
              <w:left w:w="28" w:type="dxa"/>
              <w:right w:w="28" w:type="dxa"/>
            </w:tcMar>
            <w:vAlign w:val="center"/>
          </w:tcPr>
          <w:p>
            <w:pPr>
              <w:snapToGrid w:val="0"/>
              <w:ind w:firstLine="150" w:firstLineChars="10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环评单位</w:t>
            </w:r>
          </w:p>
        </w:tc>
        <w:tc>
          <w:tcPr>
            <w:tcW w:w="4962" w:type="dxa"/>
            <w:gridSpan w:val="4"/>
            <w:tcMar>
              <w:left w:w="28" w:type="dxa"/>
              <w:right w:w="28" w:type="dxa"/>
            </w:tcMar>
            <w:vAlign w:val="center"/>
          </w:tcPr>
          <w:p>
            <w:pPr>
              <w:snapToGrid w:val="0"/>
              <w:ind w:firstLine="150" w:firstLineChars="10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甘肃蓝曦环保科技有限公司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环评文件审批机关</w:t>
            </w:r>
          </w:p>
        </w:tc>
        <w:tc>
          <w:tcPr>
            <w:tcW w:w="4131" w:type="dxa"/>
            <w:gridSpan w:val="4"/>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临夏州生态环境局临夏县分局</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审批文号</w:t>
            </w:r>
          </w:p>
        </w:tc>
        <w:tc>
          <w:tcPr>
            <w:tcW w:w="3083"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临县环发[2019]133号</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环评文件类型</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环境影响评价报告表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开工日期</w:t>
            </w:r>
          </w:p>
        </w:tc>
        <w:tc>
          <w:tcPr>
            <w:tcW w:w="4131" w:type="dxa"/>
            <w:gridSpan w:val="4"/>
            <w:tcMar>
              <w:left w:w="28" w:type="dxa"/>
              <w:right w:w="28" w:type="dxa"/>
            </w:tcMar>
            <w:vAlign w:val="center"/>
          </w:tcPr>
          <w:p>
            <w:pPr>
              <w:autoSpaceDE w:val="0"/>
              <w:autoSpaceDN w:val="0"/>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2019</w:t>
            </w:r>
            <w:r>
              <w:rPr>
                <w:rFonts w:hint="eastAsia" w:ascii="宋体" w:hAnsi="宋体" w:eastAsia="宋体" w:cs="宋体"/>
                <w:color w:val="000000" w:themeColor="text1"/>
                <w:sz w:val="15"/>
                <w:szCs w:val="15"/>
                <w:highlight w:val="none"/>
                <w14:textFill>
                  <w14:solidFill>
                    <w14:schemeClr w14:val="tx1"/>
                  </w14:solidFill>
                </w14:textFill>
              </w:rPr>
              <w:t>年</w:t>
            </w:r>
          </w:p>
        </w:tc>
        <w:tc>
          <w:tcPr>
            <w:tcW w:w="1546" w:type="dxa"/>
            <w:tcMar>
              <w:left w:w="28" w:type="dxa"/>
              <w:right w:w="28" w:type="dxa"/>
            </w:tcMar>
            <w:vAlign w:val="center"/>
          </w:tcPr>
          <w:p>
            <w:pPr>
              <w:autoSpaceDE w:val="0"/>
              <w:autoSpaceDN w:val="0"/>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竣工日期</w:t>
            </w:r>
          </w:p>
        </w:tc>
        <w:tc>
          <w:tcPr>
            <w:tcW w:w="3083"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20</w:t>
            </w:r>
            <w:r>
              <w:rPr>
                <w:rFonts w:hint="eastAsia" w:ascii="宋体" w:hAnsi="宋体" w:eastAsia="宋体" w:cs="宋体"/>
                <w:color w:val="000000" w:themeColor="text1"/>
                <w:sz w:val="15"/>
                <w:szCs w:val="15"/>
                <w:highlight w:val="none"/>
                <w:lang w:val="en-US" w:eastAsia="zh-CN"/>
                <w14:textFill>
                  <w14:solidFill>
                    <w14:schemeClr w14:val="tx1"/>
                  </w14:solidFill>
                </w14:textFill>
              </w:rPr>
              <w:t>20</w:t>
            </w:r>
            <w:r>
              <w:rPr>
                <w:rFonts w:hint="eastAsia" w:ascii="宋体" w:hAnsi="宋体" w:eastAsia="宋体" w:cs="宋体"/>
                <w:color w:val="000000" w:themeColor="text1"/>
                <w:sz w:val="15"/>
                <w:szCs w:val="15"/>
                <w:highlight w:val="none"/>
                <w14:textFill>
                  <w14:solidFill>
                    <w14:schemeClr w14:val="tx1"/>
                  </w14:solidFill>
                </w14:textFill>
              </w:rPr>
              <w:t>年</w:t>
            </w:r>
          </w:p>
        </w:tc>
        <w:tc>
          <w:tcPr>
            <w:tcW w:w="1440"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排污许可证申领时间</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环保设施设计单位</w:t>
            </w:r>
          </w:p>
        </w:tc>
        <w:tc>
          <w:tcPr>
            <w:tcW w:w="4131" w:type="dxa"/>
            <w:gridSpan w:val="4"/>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环保设施施工单位</w:t>
            </w:r>
          </w:p>
        </w:tc>
        <w:tc>
          <w:tcPr>
            <w:tcW w:w="3083" w:type="dxa"/>
            <w:gridSpan w:val="3"/>
            <w:tcMar>
              <w:left w:w="28" w:type="dxa"/>
              <w:right w:w="28" w:type="dxa"/>
            </w:tcMar>
            <w:vAlign w:val="center"/>
          </w:tcPr>
          <w:p>
            <w:pPr>
              <w:snapToGrid w:val="0"/>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甘肃公航旅中油能源有限责任公司</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本工程排污许可证编号</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验收单位</w:t>
            </w:r>
          </w:p>
        </w:tc>
        <w:tc>
          <w:tcPr>
            <w:tcW w:w="4131" w:type="dxa"/>
            <w:gridSpan w:val="4"/>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甘肃蓝曦环保科技有限公司</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环保设施监测单位</w:t>
            </w:r>
          </w:p>
        </w:tc>
        <w:tc>
          <w:tcPr>
            <w:tcW w:w="3083"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eastAsia="zh-CN"/>
                <w14:textFill>
                  <w14:solidFill>
                    <w14:schemeClr w14:val="tx1"/>
                  </w14:solidFill>
                </w14:textFill>
              </w:rPr>
              <w:t>甘肃华辰检测技术</w:t>
            </w:r>
            <w:r>
              <w:rPr>
                <w:rFonts w:hint="eastAsia" w:ascii="宋体" w:hAnsi="宋体" w:eastAsia="宋体" w:cs="宋体"/>
                <w:color w:val="000000" w:themeColor="text1"/>
                <w:sz w:val="15"/>
                <w:szCs w:val="15"/>
                <w:highlight w:val="none"/>
                <w14:textFill>
                  <w14:solidFill>
                    <w14:schemeClr w14:val="tx1"/>
                  </w14:solidFill>
                </w14:textFill>
              </w:rPr>
              <w:t>有限公司</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验收监测时工况</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投资总概算（万元）</w:t>
            </w:r>
          </w:p>
        </w:tc>
        <w:tc>
          <w:tcPr>
            <w:tcW w:w="4131" w:type="dxa"/>
            <w:gridSpan w:val="4"/>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2400</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环保投资总概算（万元）</w:t>
            </w:r>
          </w:p>
        </w:tc>
        <w:tc>
          <w:tcPr>
            <w:tcW w:w="3083" w:type="dxa"/>
            <w:gridSpan w:val="3"/>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82.2</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所占比例（%）</w:t>
            </w:r>
          </w:p>
        </w:tc>
        <w:tc>
          <w:tcPr>
            <w:tcW w:w="3522" w:type="dxa"/>
            <w:gridSpan w:val="3"/>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实际总投资（万元）</w:t>
            </w:r>
          </w:p>
        </w:tc>
        <w:tc>
          <w:tcPr>
            <w:tcW w:w="4131" w:type="dxa"/>
            <w:gridSpan w:val="4"/>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2400</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实际环保投资（万元）</w:t>
            </w:r>
          </w:p>
        </w:tc>
        <w:tc>
          <w:tcPr>
            <w:tcW w:w="3083" w:type="dxa"/>
            <w:gridSpan w:val="3"/>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101.4</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所占比例（%）</w:t>
            </w:r>
          </w:p>
        </w:tc>
        <w:tc>
          <w:tcPr>
            <w:tcW w:w="3522" w:type="dxa"/>
            <w:gridSpan w:val="3"/>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废水治理（万元）</w:t>
            </w:r>
          </w:p>
        </w:tc>
        <w:tc>
          <w:tcPr>
            <w:tcW w:w="1026" w:type="dxa"/>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8</w:t>
            </w: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废气治理</w:t>
            </w:r>
          </w:p>
        </w:tc>
        <w:tc>
          <w:tcPr>
            <w:tcW w:w="1020" w:type="dxa"/>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9</w:t>
            </w:r>
          </w:p>
        </w:tc>
        <w:tc>
          <w:tcPr>
            <w:tcW w:w="855" w:type="dxa"/>
            <w:tcMar>
              <w:left w:w="28" w:type="dxa"/>
              <w:right w:w="28" w:type="dxa"/>
            </w:tcMar>
            <w:vAlign w:val="center"/>
          </w:tcPr>
          <w:p>
            <w:pPr>
              <w:snapToGrid w:val="0"/>
              <w:ind w:left="-141" w:leftChars="-67"/>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噪声(</w:t>
            </w:r>
            <w:r>
              <w:rPr>
                <w:rFonts w:hint="eastAsia" w:ascii="宋体" w:hAnsi="宋体" w:eastAsia="宋体" w:cs="宋体"/>
                <w:color w:val="000000" w:themeColor="text1"/>
                <w:sz w:val="15"/>
                <w:szCs w:val="15"/>
                <w:highlight w:val="none"/>
                <w:lang w:val="zh-CN"/>
                <w14:textFill>
                  <w14:solidFill>
                    <w14:schemeClr w14:val="tx1"/>
                  </w14:solidFill>
                </w14:textFill>
              </w:rPr>
              <w:t>万元)</w:t>
            </w:r>
          </w:p>
        </w:tc>
        <w:tc>
          <w:tcPr>
            <w:tcW w:w="1546" w:type="dxa"/>
            <w:tcMar>
              <w:left w:w="28" w:type="dxa"/>
              <w:right w:w="28" w:type="dxa"/>
            </w:tcMar>
            <w:vAlign w:val="center"/>
          </w:tcPr>
          <w:p>
            <w:pPr>
              <w:snapToGrid w:val="0"/>
              <w:ind w:left="-103" w:leftChars="-49" w:right="-185" w:rightChars="-88"/>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1.5</w:t>
            </w:r>
          </w:p>
        </w:tc>
        <w:tc>
          <w:tcPr>
            <w:tcW w:w="923"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固废治理（</w:t>
            </w:r>
            <w:r>
              <w:rPr>
                <w:rFonts w:hint="eastAsia" w:ascii="宋体" w:hAnsi="宋体" w:eastAsia="宋体" w:cs="宋体"/>
                <w:color w:val="000000" w:themeColor="text1"/>
                <w:sz w:val="15"/>
                <w:szCs w:val="15"/>
                <w:highlight w:val="none"/>
                <w:lang w:val="zh-CN"/>
                <w14:textFill>
                  <w14:solidFill>
                    <w14:schemeClr w14:val="tx1"/>
                  </w14:solidFill>
                </w14:textFill>
              </w:rPr>
              <w:t>万元</w:t>
            </w:r>
            <w:r>
              <w:rPr>
                <w:rFonts w:hint="eastAsia" w:ascii="宋体" w:hAnsi="宋体" w:eastAsia="宋体" w:cs="宋体"/>
                <w:color w:val="000000" w:themeColor="text1"/>
                <w:sz w:val="15"/>
                <w:szCs w:val="15"/>
                <w:highlight w:val="none"/>
                <w14:textFill>
                  <w14:solidFill>
                    <w14:schemeClr w14:val="tx1"/>
                  </w14:solidFill>
                </w14:textFill>
              </w:rPr>
              <w:t>）</w:t>
            </w:r>
          </w:p>
        </w:tc>
        <w:tc>
          <w:tcPr>
            <w:tcW w:w="1035" w:type="dxa"/>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w:t>
            </w: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绿化</w:t>
            </w:r>
          </w:p>
        </w:tc>
        <w:tc>
          <w:tcPr>
            <w:tcW w:w="1440" w:type="dxa"/>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1.5</w:t>
            </w: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其它（万元）</w:t>
            </w:r>
          </w:p>
        </w:tc>
        <w:tc>
          <w:tcPr>
            <w:tcW w:w="2590" w:type="dxa"/>
            <w:gridSpan w:val="2"/>
            <w:tcMar>
              <w:left w:w="28" w:type="dxa"/>
              <w:right w:w="28" w:type="dxa"/>
            </w:tcMar>
            <w:vAlign w:val="center"/>
          </w:tcPr>
          <w:p>
            <w:pPr>
              <w:snapToGrid w:val="0"/>
              <w:jc w:val="center"/>
              <w:rPr>
                <w:rFonts w:hint="default"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新增废水处理设施能力</w:t>
            </w:r>
          </w:p>
        </w:tc>
        <w:tc>
          <w:tcPr>
            <w:tcW w:w="5677" w:type="dxa"/>
            <w:gridSpan w:val="5"/>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新增废气处理设施能力</w:t>
            </w:r>
          </w:p>
        </w:tc>
        <w:tc>
          <w:tcPr>
            <w:tcW w:w="2160" w:type="dxa"/>
            <w:gridSpan w:val="2"/>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年工作时</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365d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18" w:type="dxa"/>
            <w:gridSpan w:val="2"/>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运营单位</w:t>
            </w:r>
          </w:p>
        </w:tc>
        <w:tc>
          <w:tcPr>
            <w:tcW w:w="2256" w:type="dxa"/>
            <w:gridSpan w:val="2"/>
            <w:tcMar>
              <w:left w:w="28" w:type="dxa"/>
              <w:right w:w="28" w:type="dxa"/>
            </w:tcMar>
            <w:vAlign w:val="center"/>
          </w:tcPr>
          <w:p>
            <w:pPr>
              <w:snapToGrid w:val="0"/>
              <w:jc w:val="center"/>
              <w:rPr>
                <w:rFonts w:hint="eastAsia" w:ascii="宋体" w:hAnsi="宋体" w:eastAsia="宋体" w:cs="宋体"/>
                <w:color w:val="000000" w:themeColor="text1"/>
                <w:sz w:val="15"/>
                <w:szCs w:val="15"/>
                <w:highlight w:val="none"/>
                <w:lang w:eastAsia="zh-CN"/>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甘肃公航旅中油能源有限责任公司</w:t>
            </w: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社会统一信用代码</w:t>
            </w:r>
          </w:p>
        </w:tc>
        <w:tc>
          <w:tcPr>
            <w:tcW w:w="3324"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3600"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验收时间</w:t>
            </w:r>
          </w:p>
        </w:tc>
        <w:tc>
          <w:tcPr>
            <w:tcW w:w="3522" w:type="dxa"/>
            <w:gridSpan w:val="3"/>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2024</w:t>
            </w:r>
            <w:r>
              <w:rPr>
                <w:rFonts w:hint="eastAsia" w:ascii="宋体" w:hAnsi="宋体" w:eastAsia="宋体" w:cs="宋体"/>
                <w:color w:val="000000" w:themeColor="text1"/>
                <w:sz w:val="15"/>
                <w:szCs w:val="15"/>
                <w:highlight w:val="none"/>
                <w14:textFill>
                  <w14:solidFill>
                    <w14:schemeClr w14:val="tx1"/>
                  </w14:solidFill>
                </w14:textFill>
              </w:rPr>
              <w:t>年</w:t>
            </w:r>
            <w:r>
              <w:rPr>
                <w:rFonts w:hint="eastAsia" w:ascii="宋体" w:hAnsi="宋体" w:eastAsia="宋体" w:cs="宋体"/>
                <w:color w:val="000000" w:themeColor="text1"/>
                <w:sz w:val="15"/>
                <w:szCs w:val="15"/>
                <w:highlight w:val="none"/>
                <w:lang w:val="en-US" w:eastAsia="zh-CN"/>
                <w14:textFill>
                  <w14:solidFill>
                    <w14:schemeClr w14:val="tx1"/>
                  </w14:solidFill>
                </w14:textFill>
              </w:rPr>
              <w:t>6</w:t>
            </w:r>
            <w:r>
              <w:rPr>
                <w:rFonts w:hint="eastAsia" w:ascii="宋体" w:hAnsi="宋体" w:eastAsia="宋体" w:cs="宋体"/>
                <w:color w:val="000000" w:themeColor="text1"/>
                <w:sz w:val="15"/>
                <w:szCs w:val="15"/>
                <w:highlight w:val="none"/>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restart"/>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r>
              <w:rPr>
                <w:rFonts w:hint="eastAsia" w:ascii="黑体" w:hAnsi="黑体" w:eastAsia="黑体" w:cs="黑体"/>
                <w:color w:val="000000" w:themeColor="text1"/>
                <w:spacing w:val="20"/>
                <w:sz w:val="15"/>
                <w:szCs w:val="15"/>
                <w:highlight w:val="none"/>
                <w14:textFill>
                  <w14:solidFill>
                    <w14:schemeClr w14:val="tx1"/>
                  </w14:solidFill>
                </w14:textFill>
              </w:rPr>
              <w:t>污染物排放达标与总量控制</w:t>
            </w: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污染物</w:t>
            </w:r>
          </w:p>
        </w:tc>
        <w:tc>
          <w:tcPr>
            <w:tcW w:w="1026"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原有排放量(1)</w:t>
            </w:r>
          </w:p>
        </w:tc>
        <w:tc>
          <w:tcPr>
            <w:tcW w:w="1230"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本期工程实际排放浓度(2)</w:t>
            </w: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本期工程允许排放浓度(3)</w:t>
            </w:r>
          </w:p>
        </w:tc>
        <w:tc>
          <w:tcPr>
            <w:tcW w:w="85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本期工程产生量(4)</w:t>
            </w:r>
          </w:p>
        </w:tc>
        <w:tc>
          <w:tcPr>
            <w:tcW w:w="154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本期工程自身削减量(5)</w:t>
            </w:r>
          </w:p>
        </w:tc>
        <w:tc>
          <w:tcPr>
            <w:tcW w:w="923"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本期工程实际排放量(6)</w:t>
            </w:r>
          </w:p>
        </w:tc>
        <w:tc>
          <w:tcPr>
            <w:tcW w:w="1035" w:type="dxa"/>
            <w:tcMar>
              <w:left w:w="28" w:type="dxa"/>
              <w:right w:w="28" w:type="dxa"/>
            </w:tcMar>
            <w:vAlign w:val="center"/>
          </w:tcPr>
          <w:p>
            <w:pPr>
              <w:snapToGrid w:val="0"/>
              <w:jc w:val="left"/>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本期工程核定排放总量(7)</w:t>
            </w: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本期工程“以新带老”削减量 (8)</w:t>
            </w: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全厂实际排放总量</w:t>
            </w:r>
          </w:p>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(9)</w:t>
            </w: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全厂核定排放总量(10)</w:t>
            </w: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区域平衡替代削减量(11)</w:t>
            </w:r>
          </w:p>
        </w:tc>
        <w:tc>
          <w:tcPr>
            <w:tcW w:w="1242"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废水</w:t>
            </w:r>
          </w:p>
        </w:tc>
        <w:tc>
          <w:tcPr>
            <w:tcW w:w="1026" w:type="dxa"/>
            <w:tcMar>
              <w:left w:w="28" w:type="dxa"/>
              <w:right w:w="28" w:type="dxa"/>
            </w:tcMar>
            <w:vAlign w:val="center"/>
          </w:tcPr>
          <w:p>
            <w:pPr>
              <w:pStyle w:val="38"/>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pStyle w:val="38"/>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pStyle w:val="38"/>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hint="eastAsia" w:ascii="宋体" w:hAnsi="宋体" w:eastAsia="宋体" w:cs="宋体"/>
                <w:color w:val="000000" w:themeColor="text1"/>
                <w:sz w:val="15"/>
                <w:szCs w:val="15"/>
                <w:highlight w:val="none"/>
                <w:lang w:val="en-US" w:eastAsia="zh-CN"/>
                <w14:textFill>
                  <w14:solidFill>
                    <w14:schemeClr w14:val="tx1"/>
                  </w14:solidFill>
                </w14:textFill>
              </w:rPr>
            </w:pPr>
            <w:r>
              <w:rPr>
                <w:rFonts w:hint="eastAsia" w:ascii="宋体" w:hAnsi="宋体" w:eastAsia="宋体" w:cs="宋体"/>
                <w:color w:val="000000" w:themeColor="text1"/>
                <w:sz w:val="15"/>
                <w:szCs w:val="15"/>
                <w:highlight w:val="none"/>
                <w:lang w:val="en-US" w:eastAsia="zh-CN"/>
                <w14:textFill>
                  <w14:solidFill>
                    <w14:schemeClr w14:val="tx1"/>
                  </w14:solidFill>
                </w14:textFill>
              </w:rPr>
              <w:t xml:space="preserve">    </w:t>
            </w: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化学需氧量</w:t>
            </w:r>
          </w:p>
        </w:tc>
        <w:tc>
          <w:tcPr>
            <w:tcW w:w="102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氨氮</w:t>
            </w:r>
          </w:p>
        </w:tc>
        <w:tc>
          <w:tcPr>
            <w:tcW w:w="102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石油类</w:t>
            </w:r>
          </w:p>
        </w:tc>
        <w:tc>
          <w:tcPr>
            <w:tcW w:w="102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pStyle w:val="39"/>
              <w:ind w:firstLine="128"/>
              <w:rPr>
                <w:rFonts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废气</w:t>
            </w:r>
          </w:p>
        </w:tc>
        <w:tc>
          <w:tcPr>
            <w:tcW w:w="102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pStyle w:val="39"/>
              <w:ind w:firstLine="128"/>
              <w:rPr>
                <w:rFonts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二氧化硫</w:t>
            </w:r>
          </w:p>
        </w:tc>
        <w:tc>
          <w:tcPr>
            <w:tcW w:w="1026" w:type="dxa"/>
            <w:tcMar>
              <w:left w:w="28" w:type="dxa"/>
              <w:right w:w="28" w:type="dxa"/>
            </w:tcMar>
            <w:vAlign w:val="center"/>
          </w:tcPr>
          <w:p>
            <w:pPr>
              <w:snapToGrid w:val="0"/>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 xml:space="preserve">      </w:t>
            </w: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adjustRightInd w:val="0"/>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pStyle w:val="39"/>
              <w:ind w:firstLine="128"/>
              <w:rPr>
                <w:rFonts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0" w:type="dxa"/>
            <w:vMerge w:val="continue"/>
            <w:tcMar>
              <w:left w:w="28" w:type="dxa"/>
              <w:right w:w="28" w:type="dxa"/>
            </w:tcMar>
            <w:vAlign w:val="center"/>
          </w:tcPr>
          <w:p>
            <w:pPr>
              <w:snapToGrid w:val="0"/>
              <w:jc w:val="center"/>
              <w:rPr>
                <w:rFonts w:ascii="黑体" w:hAnsi="黑体" w:eastAsia="黑体" w:cs="黑体"/>
                <w:color w:val="000000" w:themeColor="text1"/>
                <w:sz w:val="15"/>
                <w:szCs w:val="15"/>
                <w:highlight w:val="none"/>
                <w14:textFill>
                  <w14:solidFill>
                    <w14:schemeClr w14:val="tx1"/>
                  </w14:solidFill>
                </w14:textFill>
              </w:rPr>
            </w:pPr>
          </w:p>
        </w:tc>
        <w:tc>
          <w:tcPr>
            <w:tcW w:w="165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r>
              <w:rPr>
                <w:rFonts w:hint="eastAsia" w:ascii="宋体" w:hAnsi="宋体" w:eastAsia="宋体" w:cs="宋体"/>
                <w:color w:val="000000" w:themeColor="text1"/>
                <w:sz w:val="15"/>
                <w:szCs w:val="15"/>
                <w:highlight w:val="none"/>
                <w14:textFill>
                  <w14:solidFill>
                    <w14:schemeClr w14:val="tx1"/>
                  </w14:solidFill>
                </w14:textFill>
              </w:rPr>
              <w:t>烟尘</w:t>
            </w:r>
          </w:p>
        </w:tc>
        <w:tc>
          <w:tcPr>
            <w:tcW w:w="1026"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3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2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85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546" w:type="dxa"/>
            <w:tcMar>
              <w:left w:w="28" w:type="dxa"/>
              <w:right w:w="28" w:type="dxa"/>
            </w:tcMar>
            <w:vAlign w:val="center"/>
          </w:tcPr>
          <w:p>
            <w:pPr>
              <w:pStyle w:val="7"/>
              <w:pBdr>
                <w:bottom w:val="none" w:color="auto" w:sz="0" w:space="0"/>
              </w:pBdr>
              <w:tabs>
                <w:tab w:val="clear" w:pos="4153"/>
                <w:tab w:val="clear" w:pos="8306"/>
              </w:tabs>
              <w:rPr>
                <w:rFonts w:ascii="宋体" w:hAnsi="宋体" w:eastAsia="宋体" w:cs="宋体"/>
                <w:color w:val="000000" w:themeColor="text1"/>
                <w:sz w:val="15"/>
                <w:szCs w:val="15"/>
                <w:highlight w:val="none"/>
                <w14:textFill>
                  <w14:solidFill>
                    <w14:schemeClr w14:val="tx1"/>
                  </w14:solidFill>
                </w14:textFill>
              </w:rPr>
            </w:pPr>
          </w:p>
        </w:tc>
        <w:tc>
          <w:tcPr>
            <w:tcW w:w="923"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03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125"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440"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93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348"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c>
          <w:tcPr>
            <w:tcW w:w="1242" w:type="dxa"/>
            <w:tcMar>
              <w:left w:w="28" w:type="dxa"/>
              <w:right w:w="28" w:type="dxa"/>
            </w:tcMar>
            <w:vAlign w:val="center"/>
          </w:tcPr>
          <w:p>
            <w:pPr>
              <w:snapToGrid w:val="0"/>
              <w:jc w:val="center"/>
              <w:rPr>
                <w:rFonts w:ascii="宋体" w:hAnsi="宋体" w:eastAsia="宋体" w:cs="宋体"/>
                <w:color w:val="000000" w:themeColor="text1"/>
                <w:sz w:val="15"/>
                <w:szCs w:val="15"/>
                <w:highlight w:val="none"/>
                <w14:textFill>
                  <w14:solidFill>
                    <w14:schemeClr w14:val="tx1"/>
                  </w14:solidFill>
                </w14:textFill>
              </w:rPr>
            </w:pPr>
          </w:p>
        </w:tc>
      </w:tr>
    </w:tbl>
    <w:p>
      <w:pPr>
        <w:rPr>
          <w:rFonts w:hint="eastAsia" w:asciiTheme="minorEastAsia" w:hAnsiTheme="minorEastAsia" w:cstheme="minorEastAsia"/>
          <w:b/>
          <w:bCs/>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18"/>
          <w:szCs w:val="18"/>
          <w:highlight w:val="none"/>
          <w14:textFill>
            <w14:solidFill>
              <w14:schemeClr w14:val="tx1"/>
            </w14:solidFill>
          </w14:textFill>
        </w:rPr>
        <w:t>注</w:t>
      </w:r>
      <w:r>
        <w:rPr>
          <w:rFonts w:hint="eastAsia" w:ascii="宋体" w:hAnsi="宋体" w:eastAsia="宋体" w:cs="宋体"/>
          <w:color w:val="000000" w:themeColor="text1"/>
          <w:sz w:val="18"/>
          <w:szCs w:val="18"/>
          <w:highlight w:val="none"/>
          <w14:textFill>
            <w14:solidFill>
              <w14:schemeClr w14:val="tx1"/>
            </w14:solidFill>
          </w14:textFill>
        </w:rPr>
        <w:t>：1、排放增减量：（+）表示增加，（-）表示减少；2、(12)=(6)-(8)-(11)，（9）= (4)-(5)-(8)- (11) +（1）；3、计量单位：废水排放量——万t/a；废气排放量——万标立方米/年；工业固体废物排放量——万t/a； 水污染物排放浓度——毫克/升；大气污染物排放浓度——毫克/立方米；水污染物排放量——t/a；大气污染物排放量——t/</w:t>
      </w:r>
      <w:r>
        <w:rPr>
          <w:rFonts w:hint="eastAsia" w:ascii="宋体" w:hAnsi="宋体" w:eastAsia="宋体" w:cs="宋体"/>
          <w:color w:val="000000" w:themeColor="text1"/>
          <w:sz w:val="18"/>
          <w:szCs w:val="18"/>
          <w:highlight w:val="none"/>
          <w:lang w:val="en-US" w:eastAsia="zh-CN"/>
          <w14:textFill>
            <w14:solidFill>
              <w14:schemeClr w14:val="tx1"/>
            </w14:solidFill>
          </w14:textFill>
        </w:rPr>
        <w:t>a</w:t>
      </w:r>
    </w:p>
    <w:sectPr>
      <w:footerReference r:id="rId11" w:type="default"/>
      <w:pgSz w:w="16838" w:h="11906" w:orient="landscape"/>
      <w:pgMar w:top="1803" w:right="1440" w:bottom="1803" w:left="1440" w:header="851" w:footer="992" w:gutter="0"/>
      <w:pgBorders>
        <w:top w:val="none" w:sz="0" w:space="0"/>
        <w:left w:val="none" w:sz="0" w:space="0"/>
        <w:bottom w:val="none" w:sz="0" w:space="0"/>
        <w:right w:val="none" w:sz="0" w:space="0"/>
      </w:pgBorders>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宋三简体">
    <w:altName w:val="宋体"/>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784FE2"/>
    <w:multiLevelType w:val="singleLevel"/>
    <w:tmpl w:val="12784FE2"/>
    <w:lvl w:ilvl="0" w:tentative="0">
      <w:start w:val="1"/>
      <w:numFmt w:val="chineseCounting"/>
      <w:suff w:val="nothing"/>
      <w:lvlText w:val="（%1）"/>
      <w:lvlJc w:val="left"/>
      <w:rPr>
        <w:rFonts w:hint="eastAsia"/>
      </w:rPr>
    </w:lvl>
  </w:abstractNum>
  <w:abstractNum w:abstractNumId="1">
    <w:nsid w:val="505C4AB3"/>
    <w:multiLevelType w:val="singleLevel"/>
    <w:tmpl w:val="505C4AB3"/>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xYWYxMDQ1ZWE5ZTAzNWNkNDdmZmZlOTk3YTg2NjEifQ=="/>
  </w:docVars>
  <w:rsids>
    <w:rsidRoot w:val="006302C7"/>
    <w:rsid w:val="00020829"/>
    <w:rsid w:val="000530EA"/>
    <w:rsid w:val="000702B5"/>
    <w:rsid w:val="000D37A6"/>
    <w:rsid w:val="000E61D5"/>
    <w:rsid w:val="00125653"/>
    <w:rsid w:val="00162D31"/>
    <w:rsid w:val="00163FA7"/>
    <w:rsid w:val="0017582E"/>
    <w:rsid w:val="0018354C"/>
    <w:rsid w:val="001978FA"/>
    <w:rsid w:val="001A69D3"/>
    <w:rsid w:val="001D3706"/>
    <w:rsid w:val="001D5582"/>
    <w:rsid w:val="001E368E"/>
    <w:rsid w:val="001E62A3"/>
    <w:rsid w:val="001F62AF"/>
    <w:rsid w:val="0021653D"/>
    <w:rsid w:val="00233632"/>
    <w:rsid w:val="00246177"/>
    <w:rsid w:val="00254194"/>
    <w:rsid w:val="002751D5"/>
    <w:rsid w:val="002B5A73"/>
    <w:rsid w:val="002F48C1"/>
    <w:rsid w:val="003518BA"/>
    <w:rsid w:val="00392892"/>
    <w:rsid w:val="003B0FD4"/>
    <w:rsid w:val="003B29D2"/>
    <w:rsid w:val="003D1F55"/>
    <w:rsid w:val="0042116D"/>
    <w:rsid w:val="00460A3D"/>
    <w:rsid w:val="00461AC2"/>
    <w:rsid w:val="004B648F"/>
    <w:rsid w:val="004C3368"/>
    <w:rsid w:val="005C1FC9"/>
    <w:rsid w:val="00604AFA"/>
    <w:rsid w:val="00613D6F"/>
    <w:rsid w:val="006302C7"/>
    <w:rsid w:val="00637257"/>
    <w:rsid w:val="00667B7B"/>
    <w:rsid w:val="00677999"/>
    <w:rsid w:val="00680587"/>
    <w:rsid w:val="006A387A"/>
    <w:rsid w:val="006B742F"/>
    <w:rsid w:val="006D0B8D"/>
    <w:rsid w:val="00703FDA"/>
    <w:rsid w:val="00712B70"/>
    <w:rsid w:val="00734904"/>
    <w:rsid w:val="00762285"/>
    <w:rsid w:val="00787946"/>
    <w:rsid w:val="00811C64"/>
    <w:rsid w:val="00846368"/>
    <w:rsid w:val="00870696"/>
    <w:rsid w:val="0087166E"/>
    <w:rsid w:val="00882209"/>
    <w:rsid w:val="008B2B6E"/>
    <w:rsid w:val="008C0EEA"/>
    <w:rsid w:val="008D6603"/>
    <w:rsid w:val="009B2EEE"/>
    <w:rsid w:val="009B76BC"/>
    <w:rsid w:val="009C7BB2"/>
    <w:rsid w:val="009E0342"/>
    <w:rsid w:val="009E7BCC"/>
    <w:rsid w:val="009F50D7"/>
    <w:rsid w:val="00A17153"/>
    <w:rsid w:val="00A47CE9"/>
    <w:rsid w:val="00A90E74"/>
    <w:rsid w:val="00A95023"/>
    <w:rsid w:val="00AA1D78"/>
    <w:rsid w:val="00AC5515"/>
    <w:rsid w:val="00B27D1D"/>
    <w:rsid w:val="00B77AB6"/>
    <w:rsid w:val="00B91DBD"/>
    <w:rsid w:val="00BA02B3"/>
    <w:rsid w:val="00BC156C"/>
    <w:rsid w:val="00BD4883"/>
    <w:rsid w:val="00BF1C99"/>
    <w:rsid w:val="00C35676"/>
    <w:rsid w:val="00C36078"/>
    <w:rsid w:val="00CB3BAD"/>
    <w:rsid w:val="00D03442"/>
    <w:rsid w:val="00D06E87"/>
    <w:rsid w:val="00D17B5B"/>
    <w:rsid w:val="00D5302A"/>
    <w:rsid w:val="00D622B4"/>
    <w:rsid w:val="00D85746"/>
    <w:rsid w:val="00D90B2E"/>
    <w:rsid w:val="00DC25B8"/>
    <w:rsid w:val="00DE3BE8"/>
    <w:rsid w:val="00DF1607"/>
    <w:rsid w:val="00E34A55"/>
    <w:rsid w:val="00E7621F"/>
    <w:rsid w:val="00EB25D5"/>
    <w:rsid w:val="00F01670"/>
    <w:rsid w:val="00F05E87"/>
    <w:rsid w:val="00F1191B"/>
    <w:rsid w:val="00F1210A"/>
    <w:rsid w:val="00F64234"/>
    <w:rsid w:val="00F76A5C"/>
    <w:rsid w:val="00FB0100"/>
    <w:rsid w:val="00FB501E"/>
    <w:rsid w:val="00FF2057"/>
    <w:rsid w:val="00FF655B"/>
    <w:rsid w:val="01191E63"/>
    <w:rsid w:val="01C46F98"/>
    <w:rsid w:val="01CB16FB"/>
    <w:rsid w:val="01E16534"/>
    <w:rsid w:val="020C7DAF"/>
    <w:rsid w:val="023B098D"/>
    <w:rsid w:val="027B27AF"/>
    <w:rsid w:val="027C010E"/>
    <w:rsid w:val="02A0063A"/>
    <w:rsid w:val="02F2277E"/>
    <w:rsid w:val="04134E36"/>
    <w:rsid w:val="04561FE5"/>
    <w:rsid w:val="04975DE0"/>
    <w:rsid w:val="056939D1"/>
    <w:rsid w:val="05720812"/>
    <w:rsid w:val="059453EF"/>
    <w:rsid w:val="05EB4AAB"/>
    <w:rsid w:val="06012695"/>
    <w:rsid w:val="06134ADE"/>
    <w:rsid w:val="06172ECB"/>
    <w:rsid w:val="065B3392"/>
    <w:rsid w:val="065B7421"/>
    <w:rsid w:val="06A46776"/>
    <w:rsid w:val="06CC43F7"/>
    <w:rsid w:val="074D4CBF"/>
    <w:rsid w:val="0758683F"/>
    <w:rsid w:val="07673187"/>
    <w:rsid w:val="0786149F"/>
    <w:rsid w:val="07900107"/>
    <w:rsid w:val="07E341A2"/>
    <w:rsid w:val="08140480"/>
    <w:rsid w:val="08330936"/>
    <w:rsid w:val="088073FE"/>
    <w:rsid w:val="08953F8E"/>
    <w:rsid w:val="08A07A91"/>
    <w:rsid w:val="08FD6983"/>
    <w:rsid w:val="09556561"/>
    <w:rsid w:val="096F5921"/>
    <w:rsid w:val="099D19FA"/>
    <w:rsid w:val="0AA21272"/>
    <w:rsid w:val="0ABB79F9"/>
    <w:rsid w:val="0AE96341"/>
    <w:rsid w:val="0B121265"/>
    <w:rsid w:val="0B205B7B"/>
    <w:rsid w:val="0B543DBB"/>
    <w:rsid w:val="0B873984"/>
    <w:rsid w:val="0B941CFD"/>
    <w:rsid w:val="0BCE46E9"/>
    <w:rsid w:val="0BE6570B"/>
    <w:rsid w:val="0BFA110A"/>
    <w:rsid w:val="0C0A4892"/>
    <w:rsid w:val="0C0D699D"/>
    <w:rsid w:val="0C2E49DB"/>
    <w:rsid w:val="0C8015AE"/>
    <w:rsid w:val="0C9910B8"/>
    <w:rsid w:val="0CA266B3"/>
    <w:rsid w:val="0D0760A2"/>
    <w:rsid w:val="0D7B502A"/>
    <w:rsid w:val="0DAD21F8"/>
    <w:rsid w:val="0DC7247B"/>
    <w:rsid w:val="0DD27E89"/>
    <w:rsid w:val="0E0F60D2"/>
    <w:rsid w:val="0E60235D"/>
    <w:rsid w:val="0E647BE5"/>
    <w:rsid w:val="0EA04B39"/>
    <w:rsid w:val="10532AD4"/>
    <w:rsid w:val="10801A0E"/>
    <w:rsid w:val="10A62ECC"/>
    <w:rsid w:val="10D862DE"/>
    <w:rsid w:val="11627D3E"/>
    <w:rsid w:val="119F50DE"/>
    <w:rsid w:val="11DB7183"/>
    <w:rsid w:val="12261C81"/>
    <w:rsid w:val="12553438"/>
    <w:rsid w:val="12AF4547"/>
    <w:rsid w:val="12E87D13"/>
    <w:rsid w:val="134E3377"/>
    <w:rsid w:val="13583A1F"/>
    <w:rsid w:val="135F2C93"/>
    <w:rsid w:val="1379131B"/>
    <w:rsid w:val="139F082A"/>
    <w:rsid w:val="13A3112A"/>
    <w:rsid w:val="13EA6DC1"/>
    <w:rsid w:val="144361E8"/>
    <w:rsid w:val="14726A06"/>
    <w:rsid w:val="1476243E"/>
    <w:rsid w:val="148C17E0"/>
    <w:rsid w:val="150F5FF4"/>
    <w:rsid w:val="1551653F"/>
    <w:rsid w:val="15942A09"/>
    <w:rsid w:val="15A249E4"/>
    <w:rsid w:val="15EC3040"/>
    <w:rsid w:val="15ED0B27"/>
    <w:rsid w:val="15FF7DBD"/>
    <w:rsid w:val="16242847"/>
    <w:rsid w:val="16390B59"/>
    <w:rsid w:val="174D6408"/>
    <w:rsid w:val="18585EAB"/>
    <w:rsid w:val="18B55E09"/>
    <w:rsid w:val="18C3249C"/>
    <w:rsid w:val="18E909FC"/>
    <w:rsid w:val="190676B9"/>
    <w:rsid w:val="191C0D66"/>
    <w:rsid w:val="191C3683"/>
    <w:rsid w:val="195F6453"/>
    <w:rsid w:val="199421BB"/>
    <w:rsid w:val="19C74FF5"/>
    <w:rsid w:val="19D20660"/>
    <w:rsid w:val="1A150C43"/>
    <w:rsid w:val="1A1C4238"/>
    <w:rsid w:val="1BA1343A"/>
    <w:rsid w:val="1BCE50FA"/>
    <w:rsid w:val="1BF86918"/>
    <w:rsid w:val="1BFC579F"/>
    <w:rsid w:val="1C21134E"/>
    <w:rsid w:val="1C3F65B2"/>
    <w:rsid w:val="1C521535"/>
    <w:rsid w:val="1C627806"/>
    <w:rsid w:val="1C700833"/>
    <w:rsid w:val="1C9724DD"/>
    <w:rsid w:val="1CE15585"/>
    <w:rsid w:val="1CF52C3A"/>
    <w:rsid w:val="1D1D65AE"/>
    <w:rsid w:val="1D2F1366"/>
    <w:rsid w:val="1D4A7FF4"/>
    <w:rsid w:val="1D745517"/>
    <w:rsid w:val="1E7301B6"/>
    <w:rsid w:val="1EB2450B"/>
    <w:rsid w:val="1EBF0CED"/>
    <w:rsid w:val="1EF01FFB"/>
    <w:rsid w:val="1F095C2A"/>
    <w:rsid w:val="1F1B5F8B"/>
    <w:rsid w:val="1F1C5270"/>
    <w:rsid w:val="1F2203B8"/>
    <w:rsid w:val="1F420EE6"/>
    <w:rsid w:val="1F665F09"/>
    <w:rsid w:val="1F6C7DC3"/>
    <w:rsid w:val="1FA2745A"/>
    <w:rsid w:val="1FEB24A1"/>
    <w:rsid w:val="20267F44"/>
    <w:rsid w:val="206D1B89"/>
    <w:rsid w:val="208F689A"/>
    <w:rsid w:val="20973B98"/>
    <w:rsid w:val="20A67B86"/>
    <w:rsid w:val="20CB4450"/>
    <w:rsid w:val="21051E46"/>
    <w:rsid w:val="210D079D"/>
    <w:rsid w:val="212E224E"/>
    <w:rsid w:val="21397F6F"/>
    <w:rsid w:val="213A4878"/>
    <w:rsid w:val="2165506C"/>
    <w:rsid w:val="217E44FE"/>
    <w:rsid w:val="21B32D33"/>
    <w:rsid w:val="223D7E06"/>
    <w:rsid w:val="227D7203"/>
    <w:rsid w:val="22D034D4"/>
    <w:rsid w:val="233B6C25"/>
    <w:rsid w:val="236A5BC0"/>
    <w:rsid w:val="237323C9"/>
    <w:rsid w:val="2381075B"/>
    <w:rsid w:val="23D07649"/>
    <w:rsid w:val="23D95794"/>
    <w:rsid w:val="23E44857"/>
    <w:rsid w:val="24686104"/>
    <w:rsid w:val="24D71FDA"/>
    <w:rsid w:val="24D90247"/>
    <w:rsid w:val="24E35D7B"/>
    <w:rsid w:val="24F0071E"/>
    <w:rsid w:val="24F67540"/>
    <w:rsid w:val="255109CA"/>
    <w:rsid w:val="259E6FFA"/>
    <w:rsid w:val="2635067D"/>
    <w:rsid w:val="2648563D"/>
    <w:rsid w:val="26804A23"/>
    <w:rsid w:val="26B40368"/>
    <w:rsid w:val="27096C0F"/>
    <w:rsid w:val="270F3833"/>
    <w:rsid w:val="2710140F"/>
    <w:rsid w:val="277420AE"/>
    <w:rsid w:val="278471AF"/>
    <w:rsid w:val="27D8790D"/>
    <w:rsid w:val="28453262"/>
    <w:rsid w:val="287574BE"/>
    <w:rsid w:val="28D15F77"/>
    <w:rsid w:val="28D172D6"/>
    <w:rsid w:val="291C3304"/>
    <w:rsid w:val="2933011A"/>
    <w:rsid w:val="29813D58"/>
    <w:rsid w:val="2AA420D0"/>
    <w:rsid w:val="2ABF71AF"/>
    <w:rsid w:val="2AD84B46"/>
    <w:rsid w:val="2AE371C5"/>
    <w:rsid w:val="2B0E037C"/>
    <w:rsid w:val="2B215410"/>
    <w:rsid w:val="2B357C0A"/>
    <w:rsid w:val="2B96420E"/>
    <w:rsid w:val="2B9B2716"/>
    <w:rsid w:val="2BA04DCA"/>
    <w:rsid w:val="2BD35517"/>
    <w:rsid w:val="2C1C505A"/>
    <w:rsid w:val="2C3670B8"/>
    <w:rsid w:val="2C8952D7"/>
    <w:rsid w:val="2C8E2713"/>
    <w:rsid w:val="2C9908A7"/>
    <w:rsid w:val="2CC70AA5"/>
    <w:rsid w:val="2D467E04"/>
    <w:rsid w:val="2D792157"/>
    <w:rsid w:val="2D792D9D"/>
    <w:rsid w:val="2DB7400E"/>
    <w:rsid w:val="2DDC704B"/>
    <w:rsid w:val="2DF8411D"/>
    <w:rsid w:val="2E783298"/>
    <w:rsid w:val="2EAF7BB3"/>
    <w:rsid w:val="2F712309"/>
    <w:rsid w:val="2FC525FC"/>
    <w:rsid w:val="2FC8732A"/>
    <w:rsid w:val="2FF57E04"/>
    <w:rsid w:val="31952DF8"/>
    <w:rsid w:val="32A46599"/>
    <w:rsid w:val="32AB3561"/>
    <w:rsid w:val="32BE1587"/>
    <w:rsid w:val="32E613BA"/>
    <w:rsid w:val="32FC4C32"/>
    <w:rsid w:val="331D0677"/>
    <w:rsid w:val="331D56C0"/>
    <w:rsid w:val="332C2A5C"/>
    <w:rsid w:val="335F4901"/>
    <w:rsid w:val="33E24F83"/>
    <w:rsid w:val="34B26D36"/>
    <w:rsid w:val="34D37260"/>
    <w:rsid w:val="34F52A80"/>
    <w:rsid w:val="35311B91"/>
    <w:rsid w:val="3560315E"/>
    <w:rsid w:val="35630B31"/>
    <w:rsid w:val="35DE60DE"/>
    <w:rsid w:val="35F01F0B"/>
    <w:rsid w:val="36481FEF"/>
    <w:rsid w:val="3659187E"/>
    <w:rsid w:val="36646004"/>
    <w:rsid w:val="368B3D3C"/>
    <w:rsid w:val="36F0204F"/>
    <w:rsid w:val="370F0C06"/>
    <w:rsid w:val="371D4764"/>
    <w:rsid w:val="37847C30"/>
    <w:rsid w:val="37A1516F"/>
    <w:rsid w:val="37BB1AEC"/>
    <w:rsid w:val="37F9271F"/>
    <w:rsid w:val="38113CC6"/>
    <w:rsid w:val="38472DCA"/>
    <w:rsid w:val="386F26F7"/>
    <w:rsid w:val="38CD08C5"/>
    <w:rsid w:val="39432695"/>
    <w:rsid w:val="3989420B"/>
    <w:rsid w:val="39C83A91"/>
    <w:rsid w:val="3A5B2057"/>
    <w:rsid w:val="3ADB4352"/>
    <w:rsid w:val="3B785F54"/>
    <w:rsid w:val="3B8810F4"/>
    <w:rsid w:val="3BD31109"/>
    <w:rsid w:val="3BED584B"/>
    <w:rsid w:val="3BFE0815"/>
    <w:rsid w:val="3C0167AE"/>
    <w:rsid w:val="3C635373"/>
    <w:rsid w:val="3CD64B3D"/>
    <w:rsid w:val="3CE21B78"/>
    <w:rsid w:val="3D6415FA"/>
    <w:rsid w:val="3D7C2184"/>
    <w:rsid w:val="3D924682"/>
    <w:rsid w:val="3DC63505"/>
    <w:rsid w:val="3DD158A3"/>
    <w:rsid w:val="3E5A48BE"/>
    <w:rsid w:val="3E730C92"/>
    <w:rsid w:val="3ED92854"/>
    <w:rsid w:val="3F2B013F"/>
    <w:rsid w:val="3F2B0BF9"/>
    <w:rsid w:val="3F2C22F8"/>
    <w:rsid w:val="3F3F004B"/>
    <w:rsid w:val="3F43214E"/>
    <w:rsid w:val="3F624500"/>
    <w:rsid w:val="3F7025D0"/>
    <w:rsid w:val="3F852A97"/>
    <w:rsid w:val="3F993162"/>
    <w:rsid w:val="40021A0B"/>
    <w:rsid w:val="403209AC"/>
    <w:rsid w:val="406D7699"/>
    <w:rsid w:val="408E06C8"/>
    <w:rsid w:val="40F06202"/>
    <w:rsid w:val="410D6381"/>
    <w:rsid w:val="414923AD"/>
    <w:rsid w:val="414F032D"/>
    <w:rsid w:val="41701A3E"/>
    <w:rsid w:val="4183358D"/>
    <w:rsid w:val="41DA5DD8"/>
    <w:rsid w:val="421A234D"/>
    <w:rsid w:val="42596BD1"/>
    <w:rsid w:val="425D1F67"/>
    <w:rsid w:val="427143CA"/>
    <w:rsid w:val="427B0ACC"/>
    <w:rsid w:val="428B3555"/>
    <w:rsid w:val="429D06C7"/>
    <w:rsid w:val="42BB71A5"/>
    <w:rsid w:val="433163A1"/>
    <w:rsid w:val="43760C91"/>
    <w:rsid w:val="4383002C"/>
    <w:rsid w:val="442E6A79"/>
    <w:rsid w:val="444A0B7E"/>
    <w:rsid w:val="44534373"/>
    <w:rsid w:val="449F0F54"/>
    <w:rsid w:val="44AC46E4"/>
    <w:rsid w:val="44B866CD"/>
    <w:rsid w:val="44F47623"/>
    <w:rsid w:val="451F1453"/>
    <w:rsid w:val="453109DC"/>
    <w:rsid w:val="455B28CE"/>
    <w:rsid w:val="459B5EA9"/>
    <w:rsid w:val="45B0639F"/>
    <w:rsid w:val="45E62207"/>
    <w:rsid w:val="466A3275"/>
    <w:rsid w:val="46A6087B"/>
    <w:rsid w:val="46D504FC"/>
    <w:rsid w:val="46D90348"/>
    <w:rsid w:val="47092E9A"/>
    <w:rsid w:val="476042B6"/>
    <w:rsid w:val="47CB7DFD"/>
    <w:rsid w:val="47D5769E"/>
    <w:rsid w:val="47DE55F6"/>
    <w:rsid w:val="47E11CDC"/>
    <w:rsid w:val="48392925"/>
    <w:rsid w:val="48A15DC9"/>
    <w:rsid w:val="48B5148F"/>
    <w:rsid w:val="49380F04"/>
    <w:rsid w:val="499A554C"/>
    <w:rsid w:val="49CC193F"/>
    <w:rsid w:val="49FE2AF4"/>
    <w:rsid w:val="4A0F2706"/>
    <w:rsid w:val="4A562EB5"/>
    <w:rsid w:val="4A777D38"/>
    <w:rsid w:val="4A840C37"/>
    <w:rsid w:val="4AB30ADB"/>
    <w:rsid w:val="4AD1265A"/>
    <w:rsid w:val="4AD86426"/>
    <w:rsid w:val="4B0077AD"/>
    <w:rsid w:val="4B1B3D82"/>
    <w:rsid w:val="4B241342"/>
    <w:rsid w:val="4B7E1DB8"/>
    <w:rsid w:val="4B8E13CE"/>
    <w:rsid w:val="4B90609A"/>
    <w:rsid w:val="4B9E0A47"/>
    <w:rsid w:val="4BA47CA5"/>
    <w:rsid w:val="4BCA76DB"/>
    <w:rsid w:val="4C4C082B"/>
    <w:rsid w:val="4C626085"/>
    <w:rsid w:val="4CA80FD0"/>
    <w:rsid w:val="4CB07F8C"/>
    <w:rsid w:val="4D1A424C"/>
    <w:rsid w:val="4D2473CC"/>
    <w:rsid w:val="4D9F0684"/>
    <w:rsid w:val="4DC75267"/>
    <w:rsid w:val="4DE903CD"/>
    <w:rsid w:val="4E4667BA"/>
    <w:rsid w:val="4E6D0C1E"/>
    <w:rsid w:val="4EEB1F53"/>
    <w:rsid w:val="4F451EFA"/>
    <w:rsid w:val="4F4E511A"/>
    <w:rsid w:val="4FC27574"/>
    <w:rsid w:val="500A1FE2"/>
    <w:rsid w:val="501779CF"/>
    <w:rsid w:val="50274584"/>
    <w:rsid w:val="506F2C84"/>
    <w:rsid w:val="50723644"/>
    <w:rsid w:val="507525CA"/>
    <w:rsid w:val="50781FEC"/>
    <w:rsid w:val="508448B1"/>
    <w:rsid w:val="509E2A2E"/>
    <w:rsid w:val="50A67FEB"/>
    <w:rsid w:val="50D175D1"/>
    <w:rsid w:val="50DD2497"/>
    <w:rsid w:val="50FF2839"/>
    <w:rsid w:val="51654577"/>
    <w:rsid w:val="51817DCB"/>
    <w:rsid w:val="51F33A7B"/>
    <w:rsid w:val="52255C6A"/>
    <w:rsid w:val="523E2624"/>
    <w:rsid w:val="52756B57"/>
    <w:rsid w:val="52BF5983"/>
    <w:rsid w:val="52EB3286"/>
    <w:rsid w:val="52EB5A8B"/>
    <w:rsid w:val="52F3766E"/>
    <w:rsid w:val="536B3DA6"/>
    <w:rsid w:val="53725B63"/>
    <w:rsid w:val="53C71634"/>
    <w:rsid w:val="53F064B9"/>
    <w:rsid w:val="54381F22"/>
    <w:rsid w:val="54701009"/>
    <w:rsid w:val="54732CC4"/>
    <w:rsid w:val="547A787C"/>
    <w:rsid w:val="547E6C21"/>
    <w:rsid w:val="54B3173B"/>
    <w:rsid w:val="54DC1970"/>
    <w:rsid w:val="559B0552"/>
    <w:rsid w:val="559E7C1E"/>
    <w:rsid w:val="560A0811"/>
    <w:rsid w:val="563429E8"/>
    <w:rsid w:val="56575206"/>
    <w:rsid w:val="565763FA"/>
    <w:rsid w:val="56925026"/>
    <w:rsid w:val="56C87D20"/>
    <w:rsid w:val="56E3561F"/>
    <w:rsid w:val="57C1037D"/>
    <w:rsid w:val="57F244AE"/>
    <w:rsid w:val="584E3E9C"/>
    <w:rsid w:val="5874341C"/>
    <w:rsid w:val="589F4E17"/>
    <w:rsid w:val="58A453DF"/>
    <w:rsid w:val="58AA16F3"/>
    <w:rsid w:val="58B55514"/>
    <w:rsid w:val="58CA2C12"/>
    <w:rsid w:val="58EE31BF"/>
    <w:rsid w:val="597C5CCB"/>
    <w:rsid w:val="59A41FA0"/>
    <w:rsid w:val="59AF2AB1"/>
    <w:rsid w:val="59D66044"/>
    <w:rsid w:val="59EB25B1"/>
    <w:rsid w:val="5A01653D"/>
    <w:rsid w:val="5A2D1F71"/>
    <w:rsid w:val="5A472891"/>
    <w:rsid w:val="5A736F58"/>
    <w:rsid w:val="5A8E460C"/>
    <w:rsid w:val="5AFF4E00"/>
    <w:rsid w:val="5B1478B6"/>
    <w:rsid w:val="5B2E135A"/>
    <w:rsid w:val="5B6C3C36"/>
    <w:rsid w:val="5B706370"/>
    <w:rsid w:val="5C114288"/>
    <w:rsid w:val="5C555C94"/>
    <w:rsid w:val="5CB84820"/>
    <w:rsid w:val="5CE1454B"/>
    <w:rsid w:val="5D0C7CBC"/>
    <w:rsid w:val="5D3F74FF"/>
    <w:rsid w:val="5D835DA4"/>
    <w:rsid w:val="5E5A7557"/>
    <w:rsid w:val="5E843D38"/>
    <w:rsid w:val="5E93579A"/>
    <w:rsid w:val="5EAB6E60"/>
    <w:rsid w:val="5EC3341B"/>
    <w:rsid w:val="5ECD3EC5"/>
    <w:rsid w:val="5EE35C8B"/>
    <w:rsid w:val="5F5A5286"/>
    <w:rsid w:val="5FC91276"/>
    <w:rsid w:val="603257F3"/>
    <w:rsid w:val="604F78C5"/>
    <w:rsid w:val="60A94409"/>
    <w:rsid w:val="60CC7909"/>
    <w:rsid w:val="60D508F4"/>
    <w:rsid w:val="613D3289"/>
    <w:rsid w:val="61A17F0C"/>
    <w:rsid w:val="61A51CE7"/>
    <w:rsid w:val="61E64C1F"/>
    <w:rsid w:val="61FD7185"/>
    <w:rsid w:val="620066C0"/>
    <w:rsid w:val="628C3B66"/>
    <w:rsid w:val="628E084F"/>
    <w:rsid w:val="63043BD5"/>
    <w:rsid w:val="630F6118"/>
    <w:rsid w:val="63422D3E"/>
    <w:rsid w:val="638B78B4"/>
    <w:rsid w:val="63CB1B9E"/>
    <w:rsid w:val="64394F05"/>
    <w:rsid w:val="64797D89"/>
    <w:rsid w:val="64A41452"/>
    <w:rsid w:val="64C67100"/>
    <w:rsid w:val="64DA5449"/>
    <w:rsid w:val="652A18E6"/>
    <w:rsid w:val="653D51EC"/>
    <w:rsid w:val="65B844A7"/>
    <w:rsid w:val="662220BA"/>
    <w:rsid w:val="66351A70"/>
    <w:rsid w:val="666B0FB5"/>
    <w:rsid w:val="668A7668"/>
    <w:rsid w:val="675B0790"/>
    <w:rsid w:val="679B44D9"/>
    <w:rsid w:val="67BD6B7E"/>
    <w:rsid w:val="68135F50"/>
    <w:rsid w:val="68881B11"/>
    <w:rsid w:val="68C14ABE"/>
    <w:rsid w:val="69116A3B"/>
    <w:rsid w:val="69EC5A05"/>
    <w:rsid w:val="6A5349A8"/>
    <w:rsid w:val="6A80022E"/>
    <w:rsid w:val="6A81110B"/>
    <w:rsid w:val="6B0B64EA"/>
    <w:rsid w:val="6B2B1049"/>
    <w:rsid w:val="6B964ADE"/>
    <w:rsid w:val="6B9867C4"/>
    <w:rsid w:val="6BE1515C"/>
    <w:rsid w:val="6BE654DD"/>
    <w:rsid w:val="6BED55A4"/>
    <w:rsid w:val="6C765E3A"/>
    <w:rsid w:val="6C931E58"/>
    <w:rsid w:val="6CB67031"/>
    <w:rsid w:val="6CB70040"/>
    <w:rsid w:val="6D925AC2"/>
    <w:rsid w:val="6D9F7F0C"/>
    <w:rsid w:val="6DD10454"/>
    <w:rsid w:val="6E2C5E5B"/>
    <w:rsid w:val="6E8F4102"/>
    <w:rsid w:val="6E9C129B"/>
    <w:rsid w:val="6ED152A9"/>
    <w:rsid w:val="6F69426F"/>
    <w:rsid w:val="6F6D3642"/>
    <w:rsid w:val="6F937C32"/>
    <w:rsid w:val="6FED2A8F"/>
    <w:rsid w:val="70200D95"/>
    <w:rsid w:val="70303331"/>
    <w:rsid w:val="703D6AAE"/>
    <w:rsid w:val="70537334"/>
    <w:rsid w:val="70706376"/>
    <w:rsid w:val="71244DFC"/>
    <w:rsid w:val="71F27B0E"/>
    <w:rsid w:val="72280DFE"/>
    <w:rsid w:val="724E6B06"/>
    <w:rsid w:val="72895208"/>
    <w:rsid w:val="728E5547"/>
    <w:rsid w:val="72B312A9"/>
    <w:rsid w:val="72EF3D6B"/>
    <w:rsid w:val="73564FD9"/>
    <w:rsid w:val="735A33D4"/>
    <w:rsid w:val="738125F3"/>
    <w:rsid w:val="738155F8"/>
    <w:rsid w:val="740103D4"/>
    <w:rsid w:val="74BC2448"/>
    <w:rsid w:val="74DB1827"/>
    <w:rsid w:val="74F755BC"/>
    <w:rsid w:val="75001D0C"/>
    <w:rsid w:val="753A2B5E"/>
    <w:rsid w:val="75B92E55"/>
    <w:rsid w:val="75C261FF"/>
    <w:rsid w:val="761B4623"/>
    <w:rsid w:val="762A30DC"/>
    <w:rsid w:val="76512F0C"/>
    <w:rsid w:val="76633449"/>
    <w:rsid w:val="7694011D"/>
    <w:rsid w:val="76C52601"/>
    <w:rsid w:val="76F3376C"/>
    <w:rsid w:val="776C03C1"/>
    <w:rsid w:val="77C2596C"/>
    <w:rsid w:val="77D029E9"/>
    <w:rsid w:val="780B1058"/>
    <w:rsid w:val="78FC7F7D"/>
    <w:rsid w:val="790B5088"/>
    <w:rsid w:val="79243756"/>
    <w:rsid w:val="792C477E"/>
    <w:rsid w:val="7947668A"/>
    <w:rsid w:val="79501600"/>
    <w:rsid w:val="79730217"/>
    <w:rsid w:val="798C28B7"/>
    <w:rsid w:val="79A01041"/>
    <w:rsid w:val="79AD6985"/>
    <w:rsid w:val="79D81B81"/>
    <w:rsid w:val="7A0802BF"/>
    <w:rsid w:val="7A540C7C"/>
    <w:rsid w:val="7A744008"/>
    <w:rsid w:val="7A951680"/>
    <w:rsid w:val="7AB94BA6"/>
    <w:rsid w:val="7ABC1D65"/>
    <w:rsid w:val="7B11238A"/>
    <w:rsid w:val="7B4A44B0"/>
    <w:rsid w:val="7BD858DD"/>
    <w:rsid w:val="7C036180"/>
    <w:rsid w:val="7C144BCC"/>
    <w:rsid w:val="7C3D2F68"/>
    <w:rsid w:val="7C4531A8"/>
    <w:rsid w:val="7C5B1B9A"/>
    <w:rsid w:val="7CD45014"/>
    <w:rsid w:val="7CF8106B"/>
    <w:rsid w:val="7D165B49"/>
    <w:rsid w:val="7D3B1113"/>
    <w:rsid w:val="7D65650B"/>
    <w:rsid w:val="7D9F6B36"/>
    <w:rsid w:val="7E0005B4"/>
    <w:rsid w:val="7E275317"/>
    <w:rsid w:val="7EC74356"/>
    <w:rsid w:val="7ED557C7"/>
    <w:rsid w:val="7EF015E3"/>
    <w:rsid w:val="7F0F1464"/>
    <w:rsid w:val="7F3009BE"/>
    <w:rsid w:val="7F5154DE"/>
    <w:rsid w:val="7F903697"/>
    <w:rsid w:val="7FC40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340" w:after="330" w:line="576" w:lineRule="auto"/>
      <w:outlineLvl w:val="0"/>
    </w:pPr>
    <w:rPr>
      <w:b/>
      <w:kern w:val="44"/>
      <w:sz w:val="44"/>
    </w:rPr>
  </w:style>
  <w:style w:type="paragraph" w:styleId="3">
    <w:name w:val="heading 2"/>
    <w:basedOn w:val="1"/>
    <w:next w:val="1"/>
    <w:autoRedefine/>
    <w:qFormat/>
    <w:uiPriority w:val="0"/>
    <w:pPr>
      <w:keepNext/>
      <w:keepLines/>
      <w:adjustRightInd w:val="0"/>
      <w:spacing w:before="260" w:after="260" w:line="416" w:lineRule="auto"/>
      <w:jc w:val="left"/>
      <w:textAlignment w:val="baseline"/>
      <w:outlineLvl w:val="1"/>
    </w:pPr>
    <w:rPr>
      <w:rFonts w:ascii="Arial" w:hAnsi="Arial" w:eastAsia="黑体"/>
      <w:b/>
      <w:bCs/>
      <w:sz w:val="32"/>
      <w:szCs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widowControl/>
      <w:ind w:firstLine="420"/>
      <w:jc w:val="left"/>
    </w:pPr>
    <w:rPr>
      <w:rFonts w:eastAsia="仿宋_GB2312"/>
      <w:kern w:val="0"/>
      <w:sz w:val="28"/>
      <w:szCs w:val="28"/>
    </w:rPr>
  </w:style>
  <w:style w:type="paragraph" w:styleId="5">
    <w:name w:val="Body Text First Indent 2"/>
    <w:basedOn w:val="6"/>
    <w:next w:val="1"/>
    <w:autoRedefine/>
    <w:qFormat/>
    <w:uiPriority w:val="0"/>
    <w:pPr>
      <w:spacing w:after="120"/>
      <w:ind w:left="420" w:leftChars="200" w:firstLine="420" w:firstLineChars="200"/>
    </w:pPr>
    <w:rPr>
      <w:rFonts w:ascii="Times New Roman" w:eastAsia="宋体"/>
    </w:rPr>
  </w:style>
  <w:style w:type="paragraph" w:styleId="6">
    <w:name w:val="Body Text Indent"/>
    <w:basedOn w:val="1"/>
    <w:next w:val="7"/>
    <w:link w:val="33"/>
    <w:autoRedefine/>
    <w:qFormat/>
    <w:uiPriority w:val="99"/>
    <w:pPr>
      <w:spacing w:line="360" w:lineRule="auto"/>
      <w:ind w:firstLine="480" w:firstLineChars="200"/>
    </w:pPr>
    <w:rPr>
      <w:rFonts w:eastAsia="宋体"/>
      <w:sz w:val="24"/>
      <w:szCs w:val="24"/>
    </w:rPr>
  </w:style>
  <w:style w:type="paragraph" w:styleId="7">
    <w:name w:val="header"/>
    <w:basedOn w:val="1"/>
    <w:next w:val="8"/>
    <w:link w:val="2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样式5"/>
    <w:basedOn w:val="9"/>
    <w:autoRedefine/>
    <w:qFormat/>
    <w:uiPriority w:val="0"/>
    <w:pPr>
      <w:keepNext/>
      <w:keepLines/>
      <w:spacing w:line="240" w:lineRule="atLeast"/>
      <w:jc w:val="center"/>
      <w:outlineLvl w:val="3"/>
    </w:pPr>
    <w:rPr>
      <w:rFonts w:hAnsi="宋体"/>
      <w:color w:val="000000"/>
      <w:sz w:val="20"/>
      <w:szCs w:val="21"/>
    </w:rPr>
  </w:style>
  <w:style w:type="paragraph" w:customStyle="1" w:styleId="9">
    <w:name w:val="正文1"/>
    <w:basedOn w:val="1"/>
    <w:next w:val="1"/>
    <w:autoRedefine/>
    <w:qFormat/>
    <w:uiPriority w:val="0"/>
    <w:pPr>
      <w:adjustRightInd w:val="0"/>
      <w:snapToGrid w:val="0"/>
      <w:spacing w:line="500" w:lineRule="atLeast"/>
      <w:ind w:firstLine="567" w:firstLineChars="0"/>
    </w:pPr>
    <w:rPr>
      <w:szCs w:val="20"/>
    </w:rPr>
  </w:style>
  <w:style w:type="paragraph" w:styleId="10">
    <w:name w:val="annotation text"/>
    <w:basedOn w:val="1"/>
    <w:link w:val="45"/>
    <w:autoRedefine/>
    <w:semiHidden/>
    <w:unhideWhenUsed/>
    <w:qFormat/>
    <w:uiPriority w:val="99"/>
    <w:pPr>
      <w:jc w:val="left"/>
    </w:pPr>
  </w:style>
  <w:style w:type="paragraph" w:styleId="11">
    <w:name w:val="Body Text"/>
    <w:basedOn w:val="1"/>
    <w:link w:val="34"/>
    <w:autoRedefine/>
    <w:semiHidden/>
    <w:unhideWhenUsed/>
    <w:qFormat/>
    <w:uiPriority w:val="99"/>
    <w:pPr>
      <w:spacing w:after="120"/>
    </w:pPr>
  </w:style>
  <w:style w:type="paragraph" w:styleId="12">
    <w:name w:val="Plain Text"/>
    <w:basedOn w:val="1"/>
    <w:autoRedefine/>
    <w:qFormat/>
    <w:uiPriority w:val="0"/>
    <w:rPr>
      <w:rFonts w:ascii="宋体" w:hAnsi="Courier New"/>
      <w:szCs w:val="20"/>
    </w:rPr>
  </w:style>
  <w:style w:type="paragraph" w:styleId="13">
    <w:name w:val="Body Text Indent 2"/>
    <w:basedOn w:val="1"/>
    <w:autoRedefine/>
    <w:qFormat/>
    <w:uiPriority w:val="0"/>
    <w:pPr>
      <w:spacing w:line="360" w:lineRule="auto"/>
      <w:ind w:firstLine="560" w:firstLineChars="200"/>
    </w:pPr>
    <w:rPr>
      <w:sz w:val="28"/>
    </w:rPr>
  </w:style>
  <w:style w:type="paragraph" w:styleId="14">
    <w:name w:val="Balloon Text"/>
    <w:basedOn w:val="1"/>
    <w:link w:val="40"/>
    <w:autoRedefine/>
    <w:semiHidden/>
    <w:unhideWhenUsed/>
    <w:qFormat/>
    <w:uiPriority w:val="99"/>
    <w:rPr>
      <w:sz w:val="18"/>
      <w:szCs w:val="18"/>
    </w:rPr>
  </w:style>
  <w:style w:type="paragraph" w:styleId="15">
    <w:name w:val="footer"/>
    <w:basedOn w:val="1"/>
    <w:link w:val="30"/>
    <w:autoRedefine/>
    <w:unhideWhenUsed/>
    <w:qFormat/>
    <w:uiPriority w:val="99"/>
    <w:pPr>
      <w:tabs>
        <w:tab w:val="center" w:pos="4153"/>
        <w:tab w:val="right" w:pos="8306"/>
      </w:tabs>
      <w:snapToGrid w:val="0"/>
      <w:jc w:val="left"/>
    </w:pPr>
    <w:rPr>
      <w:sz w:val="18"/>
      <w:szCs w:val="18"/>
    </w:rPr>
  </w:style>
  <w:style w:type="paragraph" w:styleId="16">
    <w:name w:val="Subtitle"/>
    <w:next w:val="1"/>
    <w:autoRedefine/>
    <w:qFormat/>
    <w:uiPriority w:val="0"/>
    <w:pPr>
      <w:jc w:val="center"/>
    </w:pPr>
    <w:rPr>
      <w:rFonts w:ascii="Times New Roman" w:hAnsi="Times New Roman" w:eastAsia="宋体" w:cs="Times New Roman"/>
      <w:bCs/>
      <w:kern w:val="28"/>
      <w:sz w:val="21"/>
      <w:szCs w:val="32"/>
      <w:lang w:val="en-US" w:eastAsia="zh-CN" w:bidi="ar-SA"/>
    </w:rPr>
  </w:style>
  <w:style w:type="paragraph" w:styleId="17">
    <w:name w:val="List"/>
    <w:basedOn w:val="1"/>
    <w:autoRedefine/>
    <w:qFormat/>
    <w:uiPriority w:val="0"/>
    <w:pPr>
      <w:ind w:left="200" w:hanging="200" w:hangingChars="200"/>
    </w:pPr>
    <w:rPr>
      <w:sz w:val="21"/>
      <w:szCs w:val="21"/>
    </w:rPr>
  </w:style>
  <w:style w:type="paragraph" w:styleId="18">
    <w:name w:val="Body Text 2"/>
    <w:basedOn w:val="1"/>
    <w:autoRedefine/>
    <w:qFormat/>
    <w:uiPriority w:val="0"/>
    <w:pPr>
      <w:spacing w:line="480" w:lineRule="auto"/>
    </w:pPr>
    <w:rPr>
      <w:szCs w:val="24"/>
    </w:rPr>
  </w:style>
  <w:style w:type="paragraph" w:styleId="1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0">
    <w:name w:val="annotation subject"/>
    <w:basedOn w:val="10"/>
    <w:next w:val="10"/>
    <w:link w:val="46"/>
    <w:autoRedefine/>
    <w:semiHidden/>
    <w:unhideWhenUsed/>
    <w:qFormat/>
    <w:uiPriority w:val="99"/>
    <w:rPr>
      <w:b/>
      <w:bCs/>
    </w:rPr>
  </w:style>
  <w:style w:type="paragraph" w:styleId="21">
    <w:name w:val="Body Text First Indent"/>
    <w:basedOn w:val="11"/>
    <w:link w:val="35"/>
    <w:autoRedefine/>
    <w:semiHidden/>
    <w:unhideWhenUsed/>
    <w:qFormat/>
    <w:uiPriority w:val="99"/>
    <w:pPr>
      <w:ind w:firstLine="420" w:firstLineChars="100"/>
    </w:p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annotation reference"/>
    <w:basedOn w:val="24"/>
    <w:autoRedefine/>
    <w:semiHidden/>
    <w:unhideWhenUsed/>
    <w:qFormat/>
    <w:uiPriority w:val="99"/>
    <w:rPr>
      <w:sz w:val="21"/>
      <w:szCs w:val="21"/>
    </w:rPr>
  </w:style>
  <w:style w:type="paragraph" w:customStyle="1" w:styleId="26">
    <w:name w:val="表头"/>
    <w:basedOn w:val="17"/>
    <w:next w:val="1"/>
    <w:autoRedefine/>
    <w:qFormat/>
    <w:uiPriority w:val="0"/>
    <w:pPr>
      <w:widowControl w:val="0"/>
      <w:spacing w:line="360" w:lineRule="auto"/>
      <w:ind w:firstLine="1566" w:firstLineChars="650"/>
      <w:jc w:val="both"/>
    </w:pPr>
    <w:rPr>
      <w:b/>
      <w:color w:val="FF0000"/>
      <w:kern w:val="0"/>
      <w:sz w:val="24"/>
      <w:szCs w:val="24"/>
    </w:rPr>
  </w:style>
  <w:style w:type="paragraph" w:customStyle="1" w:styleId="27">
    <w:name w:val="Default"/>
    <w:basedOn w:val="28"/>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8">
    <w:name w:val="纯文本1"/>
    <w:basedOn w:val="1"/>
    <w:autoRedefine/>
    <w:qFormat/>
    <w:uiPriority w:val="99"/>
    <w:pPr>
      <w:autoSpaceDE w:val="0"/>
      <w:autoSpaceDN w:val="0"/>
      <w:adjustRightInd w:val="0"/>
      <w:textAlignment w:val="baseline"/>
    </w:pPr>
    <w:rPr>
      <w:rFonts w:ascii="宋体"/>
      <w:szCs w:val="20"/>
    </w:rPr>
  </w:style>
  <w:style w:type="character" w:customStyle="1" w:styleId="29">
    <w:name w:val="页眉 Char"/>
    <w:basedOn w:val="24"/>
    <w:link w:val="7"/>
    <w:autoRedefine/>
    <w:qFormat/>
    <w:uiPriority w:val="99"/>
    <w:rPr>
      <w:sz w:val="18"/>
      <w:szCs w:val="18"/>
    </w:rPr>
  </w:style>
  <w:style w:type="character" w:customStyle="1" w:styleId="30">
    <w:name w:val="页脚 Char"/>
    <w:basedOn w:val="24"/>
    <w:link w:val="15"/>
    <w:autoRedefine/>
    <w:qFormat/>
    <w:uiPriority w:val="99"/>
    <w:rPr>
      <w:sz w:val="18"/>
      <w:szCs w:val="18"/>
    </w:rPr>
  </w:style>
  <w:style w:type="table" w:customStyle="1" w:styleId="31">
    <w:name w:val="网格型1"/>
    <w:basedOn w:val="22"/>
    <w:autoRedefine/>
    <w:qFormat/>
    <w:uiPriority w:val="59"/>
    <w:tblPr>
      <w:tblBorders>
        <w:top w:val="single" w:color="292934" w:sz="4" w:space="0"/>
        <w:left w:val="single" w:color="292934" w:sz="4" w:space="0"/>
        <w:bottom w:val="single" w:color="292934" w:sz="4" w:space="0"/>
        <w:right w:val="single" w:color="292934" w:sz="4" w:space="0"/>
        <w:insideH w:val="single" w:color="292934" w:sz="4" w:space="0"/>
        <w:insideV w:val="single" w:color="292934" w:sz="4" w:space="0"/>
      </w:tblBorders>
      <w:tblCellMar>
        <w:top w:w="0" w:type="dxa"/>
        <w:left w:w="108" w:type="dxa"/>
        <w:bottom w:w="0" w:type="dxa"/>
        <w:right w:w="108" w:type="dxa"/>
      </w:tblCellMar>
    </w:tblPr>
  </w:style>
  <w:style w:type="character" w:customStyle="1" w:styleId="32">
    <w:name w:val="正文文本缩进 Char"/>
    <w:basedOn w:val="24"/>
    <w:autoRedefine/>
    <w:semiHidden/>
    <w:qFormat/>
    <w:uiPriority w:val="99"/>
  </w:style>
  <w:style w:type="character" w:customStyle="1" w:styleId="33">
    <w:name w:val="正文文本缩进 Char1"/>
    <w:link w:val="6"/>
    <w:autoRedefine/>
    <w:qFormat/>
    <w:uiPriority w:val="0"/>
    <w:rPr>
      <w:rFonts w:eastAsia="宋体"/>
      <w:sz w:val="24"/>
      <w:szCs w:val="24"/>
    </w:rPr>
  </w:style>
  <w:style w:type="character" w:customStyle="1" w:styleId="34">
    <w:name w:val="正文文本 Char"/>
    <w:basedOn w:val="24"/>
    <w:link w:val="11"/>
    <w:autoRedefine/>
    <w:semiHidden/>
    <w:qFormat/>
    <w:uiPriority w:val="99"/>
  </w:style>
  <w:style w:type="character" w:customStyle="1" w:styleId="35">
    <w:name w:val="正文首行缩进 Char"/>
    <w:basedOn w:val="34"/>
    <w:link w:val="21"/>
    <w:autoRedefine/>
    <w:semiHidden/>
    <w:qFormat/>
    <w:uiPriority w:val="99"/>
  </w:style>
  <w:style w:type="paragraph" w:customStyle="1" w:styleId="36">
    <w:name w:val="正文文字"/>
    <w:basedOn w:val="1"/>
    <w:autoRedefine/>
    <w:qFormat/>
    <w:uiPriority w:val="0"/>
    <w:pPr>
      <w:spacing w:line="360" w:lineRule="auto"/>
      <w:ind w:firstLine="480" w:firstLineChars="200"/>
    </w:pPr>
    <w:rPr>
      <w:rFonts w:ascii="Times New Roman" w:hAnsi="Times New Roman" w:eastAsia="仿宋_GB2312" w:cs="宋体"/>
      <w:sz w:val="24"/>
      <w:szCs w:val="20"/>
    </w:rPr>
  </w:style>
  <w:style w:type="paragraph" w:customStyle="1" w:styleId="37">
    <w:name w:val="正文标题3"/>
    <w:basedOn w:val="1"/>
    <w:next w:val="36"/>
    <w:autoRedefine/>
    <w:qFormat/>
    <w:uiPriority w:val="0"/>
    <w:pPr>
      <w:spacing w:line="360" w:lineRule="auto"/>
      <w:ind w:firstLine="482" w:firstLineChars="200"/>
    </w:pPr>
    <w:rPr>
      <w:rFonts w:ascii="Times New Roman" w:hAnsi="Times New Roman" w:eastAsia="仿宋_GB2312" w:cs="宋体"/>
      <w:b/>
      <w:bCs/>
      <w:sz w:val="24"/>
      <w:szCs w:val="20"/>
    </w:rPr>
  </w:style>
  <w:style w:type="paragraph" w:customStyle="1" w:styleId="38">
    <w:name w:val="表内5S"/>
    <w:basedOn w:val="1"/>
    <w:autoRedefine/>
    <w:semiHidden/>
    <w:qFormat/>
    <w:uiPriority w:val="0"/>
    <w:pPr>
      <w:spacing w:line="300" w:lineRule="exact"/>
      <w:jc w:val="center"/>
    </w:pPr>
    <w:rPr>
      <w:rFonts w:ascii="Times New Roman" w:hAnsi="Times New Roman" w:eastAsia="方正宋三简体"/>
      <w:szCs w:val="20"/>
    </w:rPr>
  </w:style>
  <w:style w:type="paragraph" w:customStyle="1" w:styleId="39">
    <w:name w:val="表内"/>
    <w:basedOn w:val="1"/>
    <w:autoRedefine/>
    <w:qFormat/>
    <w:uiPriority w:val="0"/>
    <w:pPr>
      <w:adjustRightInd w:val="0"/>
      <w:ind w:left="-216" w:leftChars="-103" w:right="-80" w:rightChars="-38" w:firstLine="178" w:firstLineChars="85"/>
      <w:jc w:val="center"/>
      <w:textAlignment w:val="baseline"/>
    </w:pPr>
    <w:rPr>
      <w:rFonts w:ascii="宋体" w:hAnsi="宋体"/>
      <w:szCs w:val="21"/>
    </w:rPr>
  </w:style>
  <w:style w:type="character" w:customStyle="1" w:styleId="40">
    <w:name w:val="批注框文本 Char"/>
    <w:basedOn w:val="24"/>
    <w:link w:val="14"/>
    <w:autoRedefine/>
    <w:semiHidden/>
    <w:qFormat/>
    <w:uiPriority w:val="99"/>
    <w:rPr>
      <w:rFonts w:asciiTheme="minorHAnsi" w:hAnsiTheme="minorHAnsi" w:eastAsiaTheme="minorEastAsia" w:cstheme="minorBidi"/>
      <w:kern w:val="2"/>
      <w:sz w:val="18"/>
      <w:szCs w:val="18"/>
    </w:rPr>
  </w:style>
  <w:style w:type="paragraph" w:customStyle="1" w:styleId="41">
    <w:name w:val="表格"/>
    <w:basedOn w:val="1"/>
    <w:next w:val="42"/>
    <w:autoRedefine/>
    <w:qFormat/>
    <w:uiPriority w:val="0"/>
    <w:pPr>
      <w:jc w:val="center"/>
    </w:pPr>
    <w:rPr>
      <w:rFonts w:eastAsia="楷体_GB2312"/>
      <w:szCs w:val="21"/>
    </w:rPr>
  </w:style>
  <w:style w:type="paragraph" w:customStyle="1" w:styleId="42">
    <w:name w:val="正文缩进1"/>
    <w:basedOn w:val="1"/>
    <w:autoRedefine/>
    <w:qFormat/>
    <w:uiPriority w:val="0"/>
    <w:pPr>
      <w:ind w:firstLine="420" w:firstLineChars="200"/>
    </w:pPr>
  </w:style>
  <w:style w:type="paragraph" w:customStyle="1" w:styleId="43">
    <w:name w:val="p0"/>
    <w:basedOn w:val="1"/>
    <w:autoRedefine/>
    <w:qFormat/>
    <w:uiPriority w:val="0"/>
    <w:pPr>
      <w:widowControl/>
    </w:pPr>
    <w:rPr>
      <w:rFonts w:ascii="Times New Roman" w:hAnsi="Times New Roman" w:cs="Times New Roman"/>
      <w:kern w:val="0"/>
      <w:szCs w:val="21"/>
    </w:rPr>
  </w:style>
  <w:style w:type="paragraph" w:customStyle="1" w:styleId="44">
    <w:name w:val="个人正文1"/>
    <w:basedOn w:val="1"/>
    <w:autoRedefine/>
    <w:qFormat/>
    <w:uiPriority w:val="0"/>
    <w:pPr>
      <w:spacing w:line="360" w:lineRule="auto"/>
      <w:ind w:firstLine="200" w:firstLineChars="200"/>
    </w:pPr>
    <w:rPr>
      <w:rFonts w:ascii="宋体" w:hAnsi="宋体" w:cs="Times New Roman"/>
      <w:sz w:val="24"/>
      <w:szCs w:val="24"/>
    </w:rPr>
  </w:style>
  <w:style w:type="character" w:customStyle="1" w:styleId="45">
    <w:name w:val="批注文字 Char"/>
    <w:basedOn w:val="24"/>
    <w:link w:val="10"/>
    <w:autoRedefine/>
    <w:semiHidden/>
    <w:qFormat/>
    <w:uiPriority w:val="99"/>
    <w:rPr>
      <w:kern w:val="2"/>
      <w:sz w:val="21"/>
      <w:szCs w:val="22"/>
    </w:rPr>
  </w:style>
  <w:style w:type="character" w:customStyle="1" w:styleId="46">
    <w:name w:val="批注主题 Char"/>
    <w:basedOn w:val="45"/>
    <w:link w:val="20"/>
    <w:autoRedefine/>
    <w:semiHidden/>
    <w:qFormat/>
    <w:uiPriority w:val="99"/>
    <w:rPr>
      <w:b/>
      <w:bCs/>
    </w:rPr>
  </w:style>
  <w:style w:type="paragraph" w:customStyle="1" w:styleId="47">
    <w:name w:val="样式 正文缩进正文缩进2正文缩进 Char Char正文缩进 Char Char Char Char正文缩进 Char ..."/>
    <w:basedOn w:val="4"/>
    <w:next w:val="1"/>
    <w:autoRedefine/>
    <w:qFormat/>
    <w:uiPriority w:val="0"/>
    <w:pPr>
      <w:spacing w:line="360" w:lineRule="auto"/>
      <w:ind w:firstLine="200"/>
    </w:pPr>
    <w:rPr>
      <w:rFonts w:cs="宋体"/>
      <w:sz w:val="24"/>
    </w:rPr>
  </w:style>
  <w:style w:type="paragraph" w:customStyle="1" w:styleId="48">
    <w:name w:val="1标题"/>
    <w:basedOn w:val="1"/>
    <w:autoRedefine/>
    <w:qFormat/>
    <w:uiPriority w:val="0"/>
    <w:pPr>
      <w:spacing w:before="600" w:after="360" w:line="240" w:lineRule="atLeast"/>
      <w:jc w:val="center"/>
      <w:outlineLvl w:val="0"/>
    </w:pPr>
    <w:rPr>
      <w:rFonts w:ascii="楷体_GB2312" w:eastAsia="楷体_GB2312"/>
      <w:b/>
      <w:spacing w:val="6"/>
      <w:sz w:val="32"/>
      <w:szCs w:val="20"/>
    </w:rPr>
  </w:style>
  <w:style w:type="paragraph" w:customStyle="1" w:styleId="49">
    <w:name w:val="表格文字"/>
    <w:basedOn w:val="1"/>
    <w:autoRedefine/>
    <w:qFormat/>
    <w:uiPriority w:val="0"/>
    <w:pPr>
      <w:spacing w:line="320" w:lineRule="exact"/>
      <w:jc w:val="center"/>
    </w:pPr>
    <w:rPr>
      <w:rFonts w:ascii="仿宋_GB2312" w:hAnsi="宋体" w:eastAsia="仿宋_GB2312"/>
      <w:sz w:val="18"/>
    </w:rPr>
  </w:style>
  <w:style w:type="paragraph" w:customStyle="1" w:styleId="50">
    <w:name w:val="2标题"/>
    <w:basedOn w:val="2"/>
    <w:autoRedefine/>
    <w:qFormat/>
    <w:uiPriority w:val="0"/>
    <w:pPr>
      <w:keepNext w:val="0"/>
      <w:keepLines w:val="0"/>
      <w:widowControl/>
      <w:kinsoku w:val="0"/>
      <w:spacing w:before="360" w:after="240" w:line="240" w:lineRule="atLeast"/>
      <w:jc w:val="left"/>
    </w:pPr>
    <w:rPr>
      <w:rFonts w:ascii="楷体_GB2312" w:hAnsi="Arial" w:eastAsia="楷体_GB2312"/>
      <w:sz w:val="28"/>
      <w:szCs w:val="28"/>
    </w:rPr>
  </w:style>
  <w:style w:type="paragraph" w:customStyle="1" w:styleId="51">
    <w:name w:val="_Style 2"/>
    <w:next w:val="1"/>
    <w:autoRedefine/>
    <w:qFormat/>
    <w:uiPriority w:val="0"/>
    <w:pPr>
      <w:widowControl w:val="0"/>
      <w:spacing w:line="360" w:lineRule="auto"/>
      <w:jc w:val="center"/>
    </w:pPr>
    <w:rPr>
      <w:rFonts w:ascii="Times New Roman" w:hAnsi="Times New Roman" w:eastAsia="宋体" w:cs="Times New Roman"/>
      <w:b/>
      <w:kern w:val="2"/>
      <w:sz w:val="21"/>
      <w:szCs w:val="22"/>
      <w:lang w:val="en-US" w:eastAsia="zh-CN" w:bidi="ar-SA"/>
    </w:rPr>
  </w:style>
  <w:style w:type="paragraph" w:customStyle="1" w:styleId="52">
    <w:name w:val="表中文字"/>
    <w:basedOn w:val="1"/>
    <w:autoRedefine/>
    <w:qFormat/>
    <w:uiPriority w:val="0"/>
    <w:pPr>
      <w:spacing w:line="240" w:lineRule="atLeast"/>
    </w:pPr>
    <w:rPr>
      <w:rFonts w:ascii="宋体" w:hAnsi="宋体"/>
      <w:szCs w:val="21"/>
    </w:rPr>
  </w:style>
  <w:style w:type="paragraph" w:customStyle="1" w:styleId="53">
    <w:name w:val="小表文字"/>
    <w:basedOn w:val="54"/>
    <w:autoRedefine/>
    <w:qFormat/>
    <w:uiPriority w:val="0"/>
    <w:pPr>
      <w:spacing w:line="240" w:lineRule="auto"/>
    </w:pPr>
    <w:rPr>
      <w:rFonts w:eastAsia="宋体" w:cs="Times New Roman"/>
      <w:kern w:val="0"/>
      <w:sz w:val="21"/>
    </w:rPr>
  </w:style>
  <w:style w:type="paragraph" w:customStyle="1" w:styleId="54">
    <w:name w:val="大表文字"/>
    <w:basedOn w:val="1"/>
    <w:autoRedefine/>
    <w:qFormat/>
    <w:uiPriority w:val="0"/>
    <w:pPr>
      <w:spacing w:line="400" w:lineRule="exact"/>
      <w:jc w:val="center"/>
    </w:pPr>
    <w:rPr>
      <w:rFonts w:eastAsia="仿宋_GB2312" w:cs="宋体"/>
      <w:sz w:val="24"/>
      <w:szCs w:val="20"/>
    </w:rPr>
  </w:style>
  <w:style w:type="paragraph" w:customStyle="1" w:styleId="55">
    <w:name w:val="2-正文"/>
    <w:basedOn w:val="1"/>
    <w:autoRedefine/>
    <w:qFormat/>
    <w:uiPriority w:val="0"/>
    <w:pPr>
      <w:spacing w:line="520" w:lineRule="exact"/>
    </w:pPr>
  </w:style>
  <w:style w:type="paragraph" w:customStyle="1" w:styleId="56">
    <w:name w:val="水秦路3"/>
    <w:basedOn w:val="1"/>
    <w:autoRedefine/>
    <w:qFormat/>
    <w:uiPriority w:val="0"/>
    <w:pPr>
      <w:snapToGrid w:val="0"/>
      <w:spacing w:after="60" w:line="300" w:lineRule="auto"/>
      <w:outlineLvl w:val="2"/>
    </w:pPr>
    <w:rPr>
      <w:rFonts w:ascii="宋体" w:hAnsi="宋体" w:eastAsia="宋体" w:cs="Times New Roman"/>
      <w:spacing w:val="6"/>
      <w:sz w:val="28"/>
      <w:szCs w:val="28"/>
    </w:rPr>
  </w:style>
  <w:style w:type="paragraph" w:customStyle="1" w:styleId="57">
    <w:name w:val="样式 小四 首行缩进:  0.85 厘米"/>
    <w:basedOn w:val="1"/>
    <w:autoRedefine/>
    <w:qFormat/>
    <w:uiPriority w:val="0"/>
    <w:pPr>
      <w:adjustRightInd w:val="0"/>
      <w:snapToGrid w:val="0"/>
      <w:spacing w:line="360" w:lineRule="auto"/>
      <w:ind w:firstLine="560" w:firstLineChars="200"/>
    </w:pPr>
    <w:rPr>
      <w:rFonts w:ascii="黑体" w:eastAsia="黑体"/>
      <w:color w:val="0000FF"/>
      <w:sz w:val="28"/>
    </w:rPr>
  </w:style>
  <w:style w:type="paragraph" w:styleId="58">
    <w:name w:val="List Paragraph"/>
    <w:basedOn w:val="1"/>
    <w:autoRedefine/>
    <w:qFormat/>
    <w:uiPriority w:val="34"/>
    <w:pPr>
      <w:ind w:firstLine="420" w:firstLineChars="200"/>
    </w:pPr>
  </w:style>
  <w:style w:type="paragraph" w:customStyle="1" w:styleId="59">
    <w:name w:val="正文11"/>
    <w:basedOn w:val="1"/>
    <w:autoRedefine/>
    <w:qFormat/>
    <w:uiPriority w:val="0"/>
    <w:pPr>
      <w:adjustRightInd w:val="0"/>
      <w:spacing w:line="360" w:lineRule="auto"/>
      <w:ind w:left="6" w:firstLine="474"/>
      <w:jc w:val="left"/>
      <w:textAlignment w:val="baseline"/>
    </w:pPr>
    <w:rPr>
      <w:rFonts w:ascii="宋体" w:hAnsi="宋体"/>
      <w:snapToGrid w:val="0"/>
      <w:kern w:val="0"/>
      <w:sz w:val="24"/>
    </w:rPr>
  </w:style>
  <w:style w:type="paragraph" w:customStyle="1" w:styleId="60">
    <w:name w:val="正文（自定义）"/>
    <w:basedOn w:val="1"/>
    <w:autoRedefine/>
    <w:qFormat/>
    <w:uiPriority w:val="0"/>
    <w:pPr>
      <w:spacing w:line="360" w:lineRule="auto"/>
      <w:ind w:firstLine="480" w:firstLineChars="200"/>
    </w:pPr>
    <w:rPr>
      <w:rFonts w:ascii="Times New Roman" w:hAnsi="Times New Roman" w:eastAsia="宋体"/>
      <w:sz w:val="24"/>
    </w:rPr>
  </w:style>
  <w:style w:type="paragraph" w:customStyle="1" w:styleId="61">
    <w:name w:val="Table Paragraph"/>
    <w:basedOn w:val="1"/>
    <w:autoRedefine/>
    <w:qFormat/>
    <w:uiPriority w:val="1"/>
    <w:rPr>
      <w:rFonts w:ascii="Times New Roman" w:hAnsi="Times New Roman" w:eastAsia="Times New Roman" w:cs="Times New Roman"/>
      <w:lang w:val="zh-CN" w:eastAsia="zh-CN" w:bidi="zh-CN"/>
    </w:rPr>
  </w:style>
  <w:style w:type="paragraph" w:customStyle="1" w:styleId="62">
    <w:name w:val="正文3"/>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63">
    <w:name w:val="ghj正文"/>
    <w:basedOn w:val="1"/>
    <w:autoRedefine/>
    <w:qFormat/>
    <w:uiPriority w:val="0"/>
    <w:pPr>
      <w:widowControl/>
      <w:adjustRightInd w:val="0"/>
      <w:snapToGrid w:val="0"/>
      <w:spacing w:line="360" w:lineRule="auto"/>
      <w:ind w:firstLine="480" w:firstLineChars="200"/>
    </w:pPr>
    <w:rPr>
      <w:kern w:val="0"/>
      <w:szCs w:val="28"/>
    </w:rPr>
  </w:style>
  <w:style w:type="paragraph" w:customStyle="1" w:styleId="64">
    <w:name w:val="文县正文"/>
    <w:basedOn w:val="1"/>
    <w:autoRedefine/>
    <w:qFormat/>
    <w:uiPriority w:val="0"/>
    <w:pPr>
      <w:spacing w:line="500" w:lineRule="exact"/>
      <w:ind w:firstLine="200" w:firstLineChars="200"/>
    </w:pPr>
    <w:rPr>
      <w:rFonts w:ascii="Calibri" w:hAnsi="Calibri" w:eastAsia="宋体" w:cs="Times New Roman"/>
      <w:kern w:val="2"/>
      <w:sz w:val="24"/>
      <w:szCs w:val="24"/>
      <w:lang w:eastAsia="zh-CN"/>
    </w:rPr>
  </w:style>
  <w:style w:type="paragraph" w:customStyle="1" w:styleId="65">
    <w:name w:val="Table Text"/>
    <w:basedOn w:val="1"/>
    <w:autoRedefine/>
    <w:semiHidden/>
    <w:qFormat/>
    <w:uiPriority w:val="0"/>
    <w:rPr>
      <w:rFonts w:ascii="宋体" w:hAnsi="宋体" w:eastAsia="宋体" w:cs="宋体"/>
      <w:sz w:val="24"/>
      <w:szCs w:val="24"/>
      <w:lang w:val="en-US" w:eastAsia="en-US" w:bidi="ar-SA"/>
    </w:rPr>
  </w:style>
  <w:style w:type="table" w:customStyle="1" w:styleId="6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emf"/><Relationship Id="rId23" Type="http://schemas.openxmlformats.org/officeDocument/2006/relationships/oleObject" Target="embeddings/oleObject1.bin"/><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BDC3DA-E645-4920-9D9E-03E78AE8FE3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56</Pages>
  <Words>27615</Words>
  <Characters>42454</Characters>
  <Lines>155</Lines>
  <Paragraphs>43</Paragraphs>
  <TotalTime>33</TotalTime>
  <ScaleCrop>false</ScaleCrop>
  <LinksUpToDate>false</LinksUpToDate>
  <CharactersWithSpaces>42880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2018-07-17T11:22:00Z</dcterms:created>
  <dc:creator>lenovo</dc:creator>
  <cp:lastModifiedBy>邓婷</cp:lastModifiedBy>
  <cp:lastPrinted>2024-08-30T01:14:00Z</cp:lastPrinted>
  <dcterms:modified xsi:type="dcterms:W3CDTF">2024-11-13T03:25:16Z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KSORubyTemplateID" linkTarget="0">
    <vt:lpwstr>6</vt:lpwstr>
  </property>
  <property fmtid="{D5CDD505-2E9C-101B-9397-08002B2CF9AE}" pid="4" name="ICV">
    <vt:lpwstr>A93CD392F91D47A9B13D65C812E32B12_13</vt:lpwstr>
  </property>
</Properties>
</file>